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C73B65">
        <w:tc>
          <w:tcPr>
            <w:tcW w:w="10031" w:type="dxa"/>
          </w:tcPr>
          <w:p w14:paraId="34A3369B" w14:textId="77777777" w:rsidR="0089178E" w:rsidRDefault="0089178E" w:rsidP="00C73B65">
            <w:pPr>
              <w:spacing w:line="240" w:lineRule="auto"/>
              <w:ind w:left="0"/>
              <w:jc w:val="center"/>
              <w:rPr>
                <w:rFonts w:eastAsia="Times New Roman"/>
                <w:b/>
                <w:szCs w:val="22"/>
              </w:rPr>
            </w:pPr>
            <w:r w:rsidRPr="00E51FB5">
              <w:rPr>
                <w:rFonts w:eastAsia="Times New Roman"/>
                <w:b/>
                <w:szCs w:val="22"/>
              </w:rPr>
              <w:t>ÉPREUVES COMMUNES DE CONTRÔLE CONTINU</w:t>
            </w:r>
          </w:p>
          <w:p w14:paraId="69F069B2" w14:textId="55213B32" w:rsidR="004C6187" w:rsidRDefault="00962C66" w:rsidP="00C73B65">
            <w:pPr>
              <w:spacing w:line="240" w:lineRule="auto"/>
              <w:ind w:left="0"/>
              <w:jc w:val="center"/>
              <w:rPr>
                <w:rFonts w:eastAsia="Times New Roman"/>
                <w:b/>
                <w:color w:val="595959" w:themeColor="text1" w:themeTint="A6"/>
                <w:sz w:val="28"/>
                <w:szCs w:val="22"/>
              </w:rPr>
            </w:pPr>
            <w:hyperlink r:id="rId8" w:history="1">
              <w:r w:rsidR="004C6187" w:rsidRPr="003C5E2C">
                <w:rPr>
                  <w:rStyle w:val="Lienhypertexte"/>
                  <w:rFonts w:eastAsia="Times New Roman"/>
                  <w:b/>
                  <w:szCs w:val="22"/>
                </w:rPr>
                <w:t>http://labolycee.org</w:t>
              </w:r>
            </w:hyperlink>
            <w:r w:rsidR="004C6187">
              <w:rPr>
                <w:rFonts w:eastAsia="Times New Roman"/>
                <w:b/>
                <w:color w:val="595959" w:themeColor="text1" w:themeTint="A6"/>
                <w:szCs w:val="22"/>
              </w:rPr>
              <w:t xml:space="preserve"> </w:t>
            </w:r>
          </w:p>
        </w:tc>
      </w:tr>
      <w:tr w:rsidR="0089178E" w14:paraId="129B2E26" w14:textId="77777777" w:rsidTr="00C73B65">
        <w:tc>
          <w:tcPr>
            <w:tcW w:w="10031" w:type="dxa"/>
          </w:tcPr>
          <w:p w14:paraId="2EF13902" w14:textId="301E4101" w:rsidR="0089178E" w:rsidRPr="00893F38" w:rsidRDefault="0089178E" w:rsidP="00C73B65">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2A8F3DA9" w:rsidR="0089178E" w:rsidRPr="00626E0F" w:rsidRDefault="0089178E" w:rsidP="00290A0E">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826D7FF" w:rsidR="0089178E" w:rsidRPr="00626E0F" w:rsidRDefault="0089178E" w:rsidP="00290A0E">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290A0E">
              <w:rPr>
                <w:rFonts w:eastAsia="Times New Roman"/>
                <w:color w:val="000000" w:themeColor="text1"/>
                <w:sz w:val="20"/>
                <w:szCs w:val="22"/>
              </w:rPr>
              <w:tab/>
            </w:r>
            <w:r w:rsidR="00290A0E">
              <w:rPr>
                <w:rFonts w:eastAsia="Times New Roman"/>
                <w:color w:val="000000" w:themeColor="text1"/>
                <w:sz w:val="20"/>
                <w:szCs w:val="22"/>
              </w:rPr>
              <w:tab/>
            </w:r>
            <w:r w:rsidR="00290A0E">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3DF51396" w14:textId="77777777" w:rsidR="0089178E" w:rsidRDefault="0089178E" w:rsidP="00E32F53">
      <w:pPr>
        <w:ind w:left="0"/>
      </w:pPr>
    </w:p>
    <w:p w14:paraId="6C584973" w14:textId="77777777" w:rsidR="00C73B65" w:rsidRPr="00C73B65" w:rsidRDefault="00C73B65" w:rsidP="00C73B65">
      <w:pPr>
        <w:spacing w:after="0" w:line="264" w:lineRule="auto"/>
        <w:ind w:left="0"/>
        <w:jc w:val="center"/>
        <w:outlineLvl w:val="0"/>
        <w:rPr>
          <w:rFonts w:cs="Arial"/>
          <w:b/>
          <w:lang w:eastAsia="en-US"/>
        </w:rPr>
      </w:pPr>
      <w:r w:rsidRPr="00C73B65">
        <w:rPr>
          <w:rFonts w:cs="Arial"/>
          <w:b/>
          <w:lang w:eastAsia="en-US"/>
        </w:rPr>
        <w:t>Goût et couleur du sirop de menthe (10 points)</w:t>
      </w:r>
    </w:p>
    <w:p w14:paraId="1206B751" w14:textId="77777777" w:rsidR="00C73B65" w:rsidRPr="00C73B65" w:rsidRDefault="00C73B65" w:rsidP="00C73B65">
      <w:pPr>
        <w:spacing w:after="0" w:line="276" w:lineRule="auto"/>
        <w:ind w:left="0"/>
        <w:rPr>
          <w:rFonts w:eastAsiaTheme="minorHAnsi" w:cs="Arial"/>
          <w:lang w:eastAsia="en-US"/>
        </w:rPr>
      </w:pPr>
    </w:p>
    <w:p w14:paraId="4A65050D" w14:textId="2F1604BC" w:rsidR="00C73B65" w:rsidRPr="00C73B65" w:rsidRDefault="00C73B65" w:rsidP="00C73B65">
      <w:pPr>
        <w:spacing w:after="0" w:line="276" w:lineRule="auto"/>
        <w:ind w:left="0"/>
        <w:rPr>
          <w:rFonts w:eastAsiaTheme="minorHAnsi" w:cs="Arial"/>
          <w:lang w:eastAsia="en-US"/>
        </w:rPr>
      </w:pPr>
      <w:r w:rsidRPr="00C73B65">
        <w:rPr>
          <w:rFonts w:eastAsiaTheme="minorHAnsi" w:cs="Arial"/>
          <w:lang w:eastAsia="en-US"/>
        </w:rPr>
        <w:t>La plupart des sirops de menthe commerciaux partagent un goût mentholé et une couleur verte.</w:t>
      </w:r>
    </w:p>
    <w:p w14:paraId="207FAE59" w14:textId="77777777" w:rsidR="00C73B65" w:rsidRPr="00C73B65" w:rsidRDefault="00C73B65" w:rsidP="00744B77">
      <w:pPr>
        <w:spacing w:after="0" w:line="276" w:lineRule="auto"/>
        <w:ind w:left="0"/>
        <w:jc w:val="both"/>
        <w:rPr>
          <w:rFonts w:eastAsiaTheme="minorHAnsi" w:cs="Arial"/>
          <w:lang w:eastAsia="en-US"/>
        </w:rPr>
      </w:pPr>
      <w:r w:rsidRPr="00C73B65">
        <w:rPr>
          <w:rFonts w:eastAsiaTheme="minorHAnsi" w:cs="Arial"/>
          <w:lang w:eastAsia="en-US"/>
        </w:rPr>
        <w:t>L’objectif de l’exercice est d’une part d’étudier des voies de synthèse de deux molécules au goût mentholé - la menthone et l’éthanoate de menthyle-  et d’autre part, de proposer une méthode de dosage d’un colorant présent dans le sirop, le bleu patenté V, afin d’estimer la quantité maximale de sirop qui peut être consommé sans risque pour la santé.</w:t>
      </w:r>
    </w:p>
    <w:p w14:paraId="5D505204" w14:textId="77777777" w:rsidR="00C73B65" w:rsidRPr="00C73B65" w:rsidRDefault="00C73B65" w:rsidP="00C73B65">
      <w:pPr>
        <w:spacing w:after="0" w:line="276" w:lineRule="auto"/>
        <w:ind w:left="0"/>
        <w:rPr>
          <w:rFonts w:eastAsiaTheme="minorHAnsi" w:cs="Arial"/>
          <w:lang w:eastAsia="en-US"/>
        </w:rPr>
      </w:pPr>
    </w:p>
    <w:p w14:paraId="6D673A71" w14:textId="2626287C" w:rsidR="00C73B65" w:rsidRPr="00C73B65" w:rsidRDefault="00C73B65" w:rsidP="00C73B65">
      <w:pPr>
        <w:pStyle w:val="Paragraphedeliste"/>
        <w:keepNext/>
        <w:keepLines/>
        <w:numPr>
          <w:ilvl w:val="0"/>
          <w:numId w:val="8"/>
        </w:numPr>
        <w:spacing w:after="0" w:line="264" w:lineRule="auto"/>
        <w:jc w:val="both"/>
        <w:outlineLvl w:val="1"/>
        <w:rPr>
          <w:rFonts w:cs="Arial"/>
          <w:b/>
          <w:lang w:eastAsia="en-US"/>
        </w:rPr>
      </w:pPr>
      <w:r w:rsidRPr="00C73B65">
        <w:rPr>
          <w:rFonts w:cs="Arial"/>
          <w:b/>
          <w:lang w:eastAsia="en-US"/>
        </w:rPr>
        <w:t>Goût de menthe : le menthol et ses dérivés</w:t>
      </w:r>
    </w:p>
    <w:p w14:paraId="2C39FCD5" w14:textId="77777777" w:rsidR="00C73B65" w:rsidRPr="00C73B65" w:rsidRDefault="00C73B65" w:rsidP="00744B77">
      <w:pPr>
        <w:autoSpaceDE w:val="0"/>
        <w:autoSpaceDN w:val="0"/>
        <w:adjustRightInd w:val="0"/>
        <w:spacing w:after="0" w:line="240" w:lineRule="auto"/>
        <w:ind w:left="0"/>
        <w:jc w:val="both"/>
        <w:rPr>
          <w:rFonts w:eastAsia="SimSun" w:cs="Arial"/>
          <w:color w:val="000000"/>
        </w:rPr>
      </w:pPr>
      <w:r w:rsidRPr="00C73B65">
        <w:rPr>
          <w:rFonts w:eastAsia="SimSun" w:cs="Arial"/>
          <w:color w:val="000000"/>
        </w:rPr>
        <w:t>Le menthol tire son nom de l’essence de menthe. C’est un composé qui est utilisé fréquemment dans les industries agroalimentaire, pharmaceutique et cosmétique.</w:t>
      </w:r>
    </w:p>
    <w:p w14:paraId="47A553EA" w14:textId="77777777" w:rsidR="00C73B65" w:rsidRPr="00C73B65" w:rsidRDefault="00C73B65" w:rsidP="00744B77">
      <w:pPr>
        <w:autoSpaceDE w:val="0"/>
        <w:autoSpaceDN w:val="0"/>
        <w:adjustRightInd w:val="0"/>
        <w:spacing w:after="0" w:line="240" w:lineRule="auto"/>
        <w:ind w:left="0"/>
        <w:jc w:val="both"/>
        <w:rPr>
          <w:rFonts w:eastAsia="SimSun" w:cs="Arial"/>
          <w:color w:val="000000"/>
        </w:rPr>
      </w:pPr>
      <w:r w:rsidRPr="00C73B65">
        <w:rPr>
          <w:rFonts w:eastAsia="SimSun" w:cs="Arial"/>
          <w:color w:val="000000"/>
        </w:rPr>
        <w:t>La menthone, qui entre dans la composition de certains parfums et arômes naturels, est obtenue par oxydation en milieu acide du menthol.</w:t>
      </w:r>
    </w:p>
    <w:p w14:paraId="2C911E5D" w14:textId="77777777" w:rsidR="00C73B65" w:rsidRPr="00C73B65" w:rsidRDefault="00C73B65" w:rsidP="00744B77">
      <w:pPr>
        <w:spacing w:after="0" w:line="276" w:lineRule="auto"/>
        <w:ind w:left="0"/>
        <w:jc w:val="both"/>
        <w:rPr>
          <w:rFonts w:eastAsia="SimSun" w:cs="Arial"/>
          <w:color w:val="000000"/>
        </w:rPr>
      </w:pPr>
      <w:r w:rsidRPr="00C73B65">
        <w:rPr>
          <w:rFonts w:eastAsia="SimSun" w:cs="Arial"/>
          <w:color w:val="000000"/>
        </w:rPr>
        <w:t>L’éthanoate de menthyle, présent dans l’huile essentielle de menthe, contribue à l’odeur et au goût de la menthe poivrée. Il peut être obtenu à partir d’acide éthanoïque et de menthol.</w:t>
      </w:r>
    </w:p>
    <w:p w14:paraId="56468DE8" w14:textId="77777777" w:rsidR="00C73B65" w:rsidRPr="00C73B65" w:rsidRDefault="00C73B65" w:rsidP="00C73B65">
      <w:pPr>
        <w:spacing w:after="0" w:line="276" w:lineRule="auto"/>
        <w:ind w:left="0"/>
        <w:rPr>
          <w:rFonts w:eastAsiaTheme="minorHAnsi" w:cs="Arial"/>
          <w:lang w:eastAsia="en-US"/>
        </w:rPr>
      </w:pPr>
    </w:p>
    <w:p w14:paraId="6BBED8FE" w14:textId="77777777" w:rsidR="00C73B65" w:rsidRPr="00C73B65" w:rsidRDefault="00C73B65" w:rsidP="00C73B65">
      <w:pPr>
        <w:spacing w:after="0" w:line="276" w:lineRule="auto"/>
        <w:ind w:left="0"/>
        <w:rPr>
          <w:rFonts w:eastAsiaTheme="minorHAnsi" w:cs="Arial"/>
          <w:lang w:eastAsia="en-US"/>
        </w:rPr>
      </w:pPr>
      <w:r w:rsidRPr="00C73B65">
        <w:rPr>
          <w:rFonts w:eastAsiaTheme="minorHAnsi" w:cs="Arial"/>
          <w:b/>
          <w:lang w:eastAsia="en-US"/>
        </w:rPr>
        <w:t>Données :</w:t>
      </w:r>
    </w:p>
    <w:p w14:paraId="13976EB4" w14:textId="77777777" w:rsidR="00C73B65" w:rsidRDefault="00C73B65" w:rsidP="00C73B65">
      <w:pPr>
        <w:numPr>
          <w:ilvl w:val="0"/>
          <w:numId w:val="2"/>
        </w:numPr>
        <w:tabs>
          <w:tab w:val="left" w:pos="284"/>
        </w:tabs>
        <w:spacing w:after="0" w:line="264" w:lineRule="auto"/>
        <w:ind w:left="284" w:hanging="284"/>
        <w:contextualSpacing/>
        <w:rPr>
          <w:rFonts w:cs="Arial"/>
          <w:bCs/>
          <w:lang w:eastAsia="en-US"/>
        </w:rPr>
      </w:pPr>
      <w:r w:rsidRPr="00C73B65">
        <w:rPr>
          <w:rFonts w:cs="Arial"/>
          <w:bCs/>
          <w:lang w:eastAsia="en-US"/>
        </w:rPr>
        <w:t>Formules brutes et semi-développées du menthol, de la menthone et de l’éthanoate de menthyle :</w:t>
      </w:r>
    </w:p>
    <w:p w14:paraId="76EC3B61" w14:textId="77777777" w:rsidR="00C27116" w:rsidRPr="00C73B65" w:rsidRDefault="00C27116" w:rsidP="00C27116">
      <w:pPr>
        <w:tabs>
          <w:tab w:val="left" w:pos="284"/>
        </w:tabs>
        <w:spacing w:after="0" w:line="264" w:lineRule="auto"/>
        <w:ind w:left="284"/>
        <w:contextualSpacing/>
        <w:rPr>
          <w:rFonts w:cs="Arial"/>
          <w:bCs/>
          <w:lang w:eastAsia="en-US"/>
        </w:rPr>
      </w:pPr>
    </w:p>
    <w:tbl>
      <w:tblPr>
        <w:tblStyle w:val="Grilledutableau1"/>
        <w:tblW w:w="0" w:type="auto"/>
        <w:jc w:val="center"/>
        <w:tblLook w:val="04A0" w:firstRow="1" w:lastRow="0" w:firstColumn="1" w:lastColumn="0" w:noHBand="0" w:noVBand="1"/>
      </w:tblPr>
      <w:tblGrid>
        <w:gridCol w:w="2689"/>
        <w:gridCol w:w="2835"/>
        <w:gridCol w:w="3260"/>
      </w:tblGrid>
      <w:tr w:rsidR="00C73B65" w:rsidRPr="00C73B65" w14:paraId="6E5EB991" w14:textId="77777777" w:rsidTr="00381E71">
        <w:trPr>
          <w:jc w:val="center"/>
        </w:trPr>
        <w:tc>
          <w:tcPr>
            <w:tcW w:w="2689" w:type="dxa"/>
          </w:tcPr>
          <w:p w14:paraId="337EAE8E" w14:textId="77777777" w:rsidR="00C73B65" w:rsidRPr="00C73B65" w:rsidRDefault="00C73B65" w:rsidP="00C73B65">
            <w:pPr>
              <w:spacing w:after="0" w:line="240" w:lineRule="auto"/>
              <w:ind w:left="0"/>
              <w:jc w:val="center"/>
              <w:rPr>
                <w:rFonts w:ascii="Arial" w:hAnsi="Arial" w:cs="Arial"/>
                <w:bCs/>
              </w:rPr>
            </w:pPr>
            <w:r w:rsidRPr="00C73B65">
              <w:rPr>
                <w:rFonts w:ascii="Arial" w:hAnsi="Arial" w:cs="Arial"/>
                <w:bCs/>
              </w:rPr>
              <w:t>menthol</w:t>
            </w:r>
          </w:p>
        </w:tc>
        <w:tc>
          <w:tcPr>
            <w:tcW w:w="2835" w:type="dxa"/>
          </w:tcPr>
          <w:p w14:paraId="1DFB5C26" w14:textId="4E087FE4" w:rsidR="00C73B65" w:rsidRPr="00C73B65" w:rsidRDefault="00381E71" w:rsidP="00C73B65">
            <w:pPr>
              <w:spacing w:after="0" w:line="240" w:lineRule="auto"/>
              <w:ind w:left="0"/>
              <w:jc w:val="center"/>
              <w:rPr>
                <w:rFonts w:ascii="Arial" w:hAnsi="Arial" w:cs="Arial"/>
                <w:bCs/>
              </w:rPr>
            </w:pPr>
            <w:r w:rsidRPr="00C73B65">
              <w:rPr>
                <w:rFonts w:ascii="Arial" w:hAnsi="Arial" w:cs="Arial"/>
                <w:bCs/>
              </w:rPr>
              <w:t>M</w:t>
            </w:r>
            <w:r w:rsidR="00C73B65" w:rsidRPr="00C73B65">
              <w:rPr>
                <w:rFonts w:ascii="Arial" w:hAnsi="Arial" w:cs="Arial"/>
                <w:bCs/>
              </w:rPr>
              <w:t>enthone</w:t>
            </w:r>
          </w:p>
        </w:tc>
        <w:tc>
          <w:tcPr>
            <w:tcW w:w="3260" w:type="dxa"/>
          </w:tcPr>
          <w:p w14:paraId="4F0ADA1F" w14:textId="77777777" w:rsidR="00C73B65" w:rsidRPr="00C73B65" w:rsidRDefault="00C73B65" w:rsidP="00C73B65">
            <w:pPr>
              <w:spacing w:after="0" w:line="240" w:lineRule="auto"/>
              <w:ind w:left="0"/>
              <w:jc w:val="center"/>
              <w:rPr>
                <w:rFonts w:ascii="Arial" w:hAnsi="Arial" w:cs="Arial"/>
                <w:bCs/>
              </w:rPr>
            </w:pPr>
            <w:r w:rsidRPr="00C73B65">
              <w:rPr>
                <w:rFonts w:ascii="Arial" w:hAnsi="Arial" w:cs="Arial"/>
                <w:bCs/>
              </w:rPr>
              <w:t>éthanoate de menthyle</w:t>
            </w:r>
          </w:p>
        </w:tc>
      </w:tr>
      <w:tr w:rsidR="00C73B65" w:rsidRPr="00C73B65" w14:paraId="5069D583" w14:textId="77777777" w:rsidTr="00381E71">
        <w:trPr>
          <w:jc w:val="center"/>
        </w:trPr>
        <w:tc>
          <w:tcPr>
            <w:tcW w:w="2689" w:type="dxa"/>
          </w:tcPr>
          <w:p w14:paraId="4301D581" w14:textId="77777777" w:rsidR="00C73B65" w:rsidRPr="00C73B65" w:rsidRDefault="00C73B65" w:rsidP="00C73B65">
            <w:pPr>
              <w:spacing w:after="0" w:line="240" w:lineRule="auto"/>
              <w:ind w:left="0"/>
              <w:jc w:val="center"/>
              <w:rPr>
                <w:rFonts w:ascii="Arial" w:hAnsi="Arial" w:cs="Arial"/>
                <w:bCs/>
              </w:rPr>
            </w:pPr>
            <w:r w:rsidRPr="00C73B65">
              <w:rPr>
                <w:rFonts w:ascii="Arial" w:hAnsi="Arial" w:cs="Arial"/>
                <w:bCs/>
              </w:rPr>
              <w:t>C</w:t>
            </w:r>
            <w:r w:rsidRPr="00C73B65">
              <w:rPr>
                <w:rFonts w:ascii="Arial" w:hAnsi="Arial" w:cs="Arial"/>
                <w:bCs/>
                <w:vertAlign w:val="subscript"/>
              </w:rPr>
              <w:t>10</w:t>
            </w:r>
            <w:r w:rsidRPr="00C73B65">
              <w:rPr>
                <w:rFonts w:ascii="Arial" w:hAnsi="Arial" w:cs="Arial"/>
                <w:bCs/>
              </w:rPr>
              <w:t>H</w:t>
            </w:r>
            <w:r w:rsidRPr="00C73B65">
              <w:rPr>
                <w:rFonts w:ascii="Arial" w:hAnsi="Arial" w:cs="Arial"/>
                <w:bCs/>
                <w:vertAlign w:val="subscript"/>
              </w:rPr>
              <w:t>20</w:t>
            </w:r>
            <w:r w:rsidRPr="00C73B65">
              <w:rPr>
                <w:rFonts w:ascii="Arial" w:hAnsi="Arial" w:cs="Arial"/>
                <w:bCs/>
              </w:rPr>
              <w:t>O</w:t>
            </w:r>
          </w:p>
        </w:tc>
        <w:tc>
          <w:tcPr>
            <w:tcW w:w="2835" w:type="dxa"/>
          </w:tcPr>
          <w:p w14:paraId="38688A02" w14:textId="77777777" w:rsidR="00C73B65" w:rsidRPr="00C73B65" w:rsidRDefault="00C73B65" w:rsidP="00C73B65">
            <w:pPr>
              <w:spacing w:after="0" w:line="240" w:lineRule="auto"/>
              <w:ind w:left="0"/>
              <w:jc w:val="center"/>
              <w:rPr>
                <w:rFonts w:ascii="Arial" w:hAnsi="Arial" w:cs="Arial"/>
                <w:bCs/>
              </w:rPr>
            </w:pPr>
            <w:r w:rsidRPr="00C73B65">
              <w:rPr>
                <w:rFonts w:ascii="Arial" w:hAnsi="Arial" w:cs="Arial"/>
                <w:bCs/>
              </w:rPr>
              <w:t>C</w:t>
            </w:r>
            <w:r w:rsidRPr="00C73B65">
              <w:rPr>
                <w:rFonts w:ascii="Arial" w:hAnsi="Arial" w:cs="Arial"/>
                <w:bCs/>
                <w:vertAlign w:val="subscript"/>
              </w:rPr>
              <w:t>10</w:t>
            </w:r>
            <w:r w:rsidRPr="00C73B65">
              <w:rPr>
                <w:rFonts w:ascii="Arial" w:hAnsi="Arial" w:cs="Arial"/>
                <w:bCs/>
              </w:rPr>
              <w:t>H</w:t>
            </w:r>
            <w:r w:rsidRPr="00C73B65">
              <w:rPr>
                <w:rFonts w:ascii="Arial" w:hAnsi="Arial" w:cs="Arial"/>
                <w:bCs/>
                <w:vertAlign w:val="subscript"/>
              </w:rPr>
              <w:t>18</w:t>
            </w:r>
            <w:r w:rsidRPr="00C73B65">
              <w:rPr>
                <w:rFonts w:ascii="Arial" w:hAnsi="Arial" w:cs="Arial"/>
                <w:bCs/>
              </w:rPr>
              <w:t>O</w:t>
            </w:r>
          </w:p>
        </w:tc>
        <w:tc>
          <w:tcPr>
            <w:tcW w:w="3260" w:type="dxa"/>
          </w:tcPr>
          <w:p w14:paraId="1D8347E5" w14:textId="77777777" w:rsidR="00C73B65" w:rsidRPr="00C73B65" w:rsidRDefault="00C73B65" w:rsidP="00C73B65">
            <w:pPr>
              <w:spacing w:after="0" w:line="240" w:lineRule="auto"/>
              <w:ind w:left="0"/>
              <w:jc w:val="center"/>
              <w:rPr>
                <w:rFonts w:ascii="Arial" w:hAnsi="Arial" w:cs="Arial"/>
                <w:bCs/>
              </w:rPr>
            </w:pPr>
            <w:r w:rsidRPr="00C73B65">
              <w:rPr>
                <w:rFonts w:ascii="Arial" w:hAnsi="Arial" w:cs="Arial"/>
                <w:bCs/>
              </w:rPr>
              <w:t>C</w:t>
            </w:r>
            <w:r w:rsidRPr="00C73B65">
              <w:rPr>
                <w:rFonts w:ascii="Arial" w:hAnsi="Arial" w:cs="Arial"/>
                <w:bCs/>
                <w:vertAlign w:val="subscript"/>
              </w:rPr>
              <w:t>12</w:t>
            </w:r>
            <w:r w:rsidRPr="00C73B65">
              <w:rPr>
                <w:rFonts w:ascii="Arial" w:hAnsi="Arial" w:cs="Arial"/>
                <w:bCs/>
              </w:rPr>
              <w:t>H</w:t>
            </w:r>
            <w:r w:rsidRPr="00C73B65">
              <w:rPr>
                <w:rFonts w:ascii="Arial" w:hAnsi="Arial" w:cs="Arial"/>
                <w:bCs/>
                <w:vertAlign w:val="subscript"/>
              </w:rPr>
              <w:t>22</w:t>
            </w:r>
            <w:r w:rsidRPr="00C73B65">
              <w:rPr>
                <w:rFonts w:ascii="Arial" w:hAnsi="Arial" w:cs="Arial"/>
                <w:bCs/>
              </w:rPr>
              <w:t>O</w:t>
            </w:r>
            <w:r w:rsidRPr="00C73B65">
              <w:rPr>
                <w:rFonts w:ascii="Arial" w:hAnsi="Arial" w:cs="Arial"/>
                <w:bCs/>
                <w:vertAlign w:val="subscript"/>
              </w:rPr>
              <w:t>2</w:t>
            </w:r>
          </w:p>
        </w:tc>
      </w:tr>
      <w:tr w:rsidR="00C73B65" w:rsidRPr="00C73B65" w14:paraId="31264516" w14:textId="77777777" w:rsidTr="00381E71">
        <w:trPr>
          <w:jc w:val="center"/>
        </w:trPr>
        <w:tc>
          <w:tcPr>
            <w:tcW w:w="2689" w:type="dxa"/>
          </w:tcPr>
          <w:p w14:paraId="0730DAB6" w14:textId="77777777" w:rsidR="00C73B65" w:rsidRPr="00C73B65" w:rsidRDefault="00C73B65" w:rsidP="00C73B65">
            <w:pPr>
              <w:spacing w:after="0" w:line="240" w:lineRule="auto"/>
              <w:ind w:left="0"/>
              <w:jc w:val="center"/>
              <w:rPr>
                <w:rFonts w:ascii="Arial" w:hAnsi="Arial" w:cs="Arial"/>
                <w:bCs/>
              </w:rPr>
            </w:pPr>
            <w:r w:rsidRPr="00C73B65">
              <w:rPr>
                <w:rFonts w:ascii="Arial" w:eastAsiaTheme="minorHAnsi" w:hAnsi="Arial" w:cs="Arial"/>
                <w:noProof/>
                <w:lang w:eastAsia="en-US"/>
              </w:rPr>
              <w:object w:dxaOrig="1704" w:dyaOrig="2309" w14:anchorId="3025F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129pt;mso-width-percent:0;mso-height-percent:0;mso-width-percent:0;mso-height-percent:0" o:ole="">
                  <v:imagedata r:id="rId9" o:title=""/>
                </v:shape>
                <o:OLEObject Type="Embed" ProgID="ACD.ChemSketch.20" ShapeID="_x0000_i1025" DrawAspect="Content" ObjectID="_1645701549" r:id="rId10"/>
              </w:object>
            </w:r>
          </w:p>
        </w:tc>
        <w:tc>
          <w:tcPr>
            <w:tcW w:w="2835" w:type="dxa"/>
          </w:tcPr>
          <w:p w14:paraId="78431C9B" w14:textId="77777777" w:rsidR="00C73B65" w:rsidRPr="00C73B65" w:rsidRDefault="00C73B65" w:rsidP="00C73B65">
            <w:pPr>
              <w:spacing w:after="0" w:line="240" w:lineRule="auto"/>
              <w:ind w:left="0"/>
              <w:jc w:val="center"/>
              <w:rPr>
                <w:rFonts w:ascii="Arial" w:hAnsi="Arial" w:cs="Arial"/>
                <w:bCs/>
              </w:rPr>
            </w:pPr>
            <w:r w:rsidRPr="00C73B65">
              <w:rPr>
                <w:rFonts w:ascii="Arial" w:eastAsiaTheme="minorHAnsi" w:hAnsi="Arial" w:cs="Arial"/>
                <w:noProof/>
                <w:lang w:eastAsia="en-US"/>
              </w:rPr>
              <w:object w:dxaOrig="1598" w:dyaOrig="2304" w14:anchorId="3AC62B83">
                <v:shape id="_x0000_i1026" type="#_x0000_t75" alt="" style="width:90pt;height:129pt;mso-width-percent:0;mso-height-percent:0;mso-width-percent:0;mso-height-percent:0" o:ole="">
                  <v:imagedata r:id="rId11" o:title=""/>
                </v:shape>
                <o:OLEObject Type="Embed" ProgID="ACD.ChemSketch.20" ShapeID="_x0000_i1026" DrawAspect="Content" ObjectID="_1645701550" r:id="rId12"/>
              </w:object>
            </w:r>
          </w:p>
        </w:tc>
        <w:tc>
          <w:tcPr>
            <w:tcW w:w="3260" w:type="dxa"/>
          </w:tcPr>
          <w:p w14:paraId="41AD51C2" w14:textId="77777777" w:rsidR="00C73B65" w:rsidRPr="00C73B65" w:rsidRDefault="00C73B65" w:rsidP="00C73B65">
            <w:pPr>
              <w:spacing w:after="0" w:line="240" w:lineRule="auto"/>
              <w:ind w:left="0"/>
              <w:jc w:val="center"/>
              <w:rPr>
                <w:rFonts w:ascii="Arial" w:hAnsi="Arial" w:cs="Arial"/>
                <w:bCs/>
              </w:rPr>
            </w:pPr>
            <w:r w:rsidRPr="00C73B65">
              <w:rPr>
                <w:rFonts w:ascii="Arial" w:eastAsiaTheme="minorHAnsi" w:hAnsi="Arial" w:cs="Arial"/>
                <w:noProof/>
                <w:lang w:eastAsia="en-US"/>
              </w:rPr>
              <w:object w:dxaOrig="2563" w:dyaOrig="2309" w14:anchorId="5F80066C">
                <v:shape id="_x0000_i1027" type="#_x0000_t75" alt="" style="width:142.5pt;height:127.5pt;mso-width-percent:0;mso-height-percent:0;mso-width-percent:0;mso-height-percent:0" o:ole="">
                  <v:imagedata r:id="rId13" o:title=""/>
                </v:shape>
                <o:OLEObject Type="Embed" ProgID="ACD.ChemSketch.20" ShapeID="_x0000_i1027" DrawAspect="Content" ObjectID="_1645701551" r:id="rId14"/>
              </w:object>
            </w:r>
          </w:p>
        </w:tc>
      </w:tr>
    </w:tbl>
    <w:p w14:paraId="24352D05" w14:textId="77777777" w:rsidR="00C73B65" w:rsidRPr="00C73B65" w:rsidRDefault="00C73B65" w:rsidP="00C73B65">
      <w:pPr>
        <w:spacing w:after="0" w:line="276" w:lineRule="auto"/>
        <w:ind w:left="0"/>
        <w:jc w:val="center"/>
        <w:rPr>
          <w:rFonts w:eastAsiaTheme="minorHAnsi" w:cs="Arial"/>
          <w:bCs/>
          <w:i/>
          <w:iCs/>
          <w:lang w:eastAsia="en-US"/>
        </w:rPr>
      </w:pPr>
      <w:r w:rsidRPr="00C73B65">
        <w:rPr>
          <w:rFonts w:eastAsiaTheme="minorHAnsi" w:cs="Arial"/>
          <w:lang w:eastAsia="en-US"/>
        </w:rPr>
        <w:t>  </w:t>
      </w:r>
    </w:p>
    <w:p w14:paraId="270CCBFF" w14:textId="09F7D720" w:rsidR="00C73B65" w:rsidRPr="00C73B65" w:rsidRDefault="00C73B65" w:rsidP="00381E71">
      <w:pPr>
        <w:pStyle w:val="Paragraphedeliste"/>
        <w:keepNext/>
        <w:keepLines/>
        <w:numPr>
          <w:ilvl w:val="1"/>
          <w:numId w:val="8"/>
        </w:numPr>
        <w:spacing w:after="0" w:line="264" w:lineRule="auto"/>
        <w:jc w:val="both"/>
        <w:outlineLvl w:val="2"/>
        <w:rPr>
          <w:rFonts w:cs="Arial"/>
        </w:rPr>
      </w:pPr>
      <w:r w:rsidRPr="00C73B65">
        <w:rPr>
          <w:rFonts w:cs="Arial"/>
        </w:rPr>
        <w:t>Indiquer les familles de composés auxquelles apparti</w:t>
      </w:r>
      <w:r>
        <w:rPr>
          <w:rFonts w:cs="Arial"/>
        </w:rPr>
        <w:t xml:space="preserve">ennent le menthol, la menthone. </w:t>
      </w:r>
      <w:r w:rsidRPr="00C73B65">
        <w:rPr>
          <w:rFonts w:cs="Arial"/>
        </w:rPr>
        <w:t>Justifier.</w:t>
      </w:r>
    </w:p>
    <w:p w14:paraId="30FAAB70" w14:textId="77777777" w:rsidR="00C73B65" w:rsidRPr="00C73B65" w:rsidRDefault="00C73B65" w:rsidP="00C73B65">
      <w:pPr>
        <w:spacing w:after="0" w:line="276" w:lineRule="auto"/>
        <w:ind w:left="0"/>
        <w:rPr>
          <w:rFonts w:eastAsiaTheme="minorHAnsi" w:cs="Arial"/>
        </w:rPr>
      </w:pPr>
    </w:p>
    <w:p w14:paraId="1B8FAB33" w14:textId="0584BF8A" w:rsidR="00C73B65" w:rsidRPr="00C73B65" w:rsidRDefault="00C73B65" w:rsidP="00381E71">
      <w:pPr>
        <w:pStyle w:val="Paragraphedeliste"/>
        <w:keepNext/>
        <w:keepLines/>
        <w:numPr>
          <w:ilvl w:val="1"/>
          <w:numId w:val="8"/>
        </w:numPr>
        <w:spacing w:after="0" w:line="264" w:lineRule="auto"/>
        <w:jc w:val="both"/>
        <w:outlineLvl w:val="2"/>
        <w:rPr>
          <w:rFonts w:cs="Arial"/>
        </w:rPr>
      </w:pPr>
      <w:r w:rsidRPr="00C73B65">
        <w:rPr>
          <w:rFonts w:cs="Arial"/>
        </w:rPr>
        <w:t>La menthone peut être obtenue au laboratoire par oxydation du menthol par le trioxyde de chrome CrO</w:t>
      </w:r>
      <w:r w:rsidRPr="00C73B65">
        <w:rPr>
          <w:rFonts w:cs="Arial"/>
          <w:vertAlign w:val="subscript"/>
        </w:rPr>
        <w:t>3</w:t>
      </w:r>
      <w:r w:rsidRPr="00C73B65">
        <w:rPr>
          <w:rFonts w:cs="Arial"/>
        </w:rPr>
        <w:t>.</w:t>
      </w:r>
    </w:p>
    <w:p w14:paraId="71A79040" w14:textId="77777777" w:rsidR="00C73B65" w:rsidRPr="00C73B65" w:rsidRDefault="00C73B65" w:rsidP="00381E71">
      <w:pPr>
        <w:keepNext/>
        <w:keepLines/>
        <w:spacing w:after="0" w:line="264" w:lineRule="auto"/>
        <w:ind w:left="0"/>
        <w:jc w:val="both"/>
        <w:outlineLvl w:val="2"/>
        <w:rPr>
          <w:rFonts w:cs="Arial"/>
          <w:bCs/>
        </w:rPr>
      </w:pPr>
      <w:r w:rsidRPr="00C73B65">
        <w:rPr>
          <w:rFonts w:cs="Arial"/>
        </w:rPr>
        <w:t>Écrire la demi-équation électronique associée au couple menthone / menthol et justifier que le terme d’oxydation pour le passage du menthol à la  menthone.</w:t>
      </w:r>
    </w:p>
    <w:p w14:paraId="4455E774" w14:textId="5570CACB" w:rsidR="00744B77" w:rsidRDefault="00744B77">
      <w:pPr>
        <w:spacing w:after="0" w:line="240" w:lineRule="auto"/>
        <w:ind w:left="0"/>
        <w:rPr>
          <w:rFonts w:eastAsiaTheme="minorHAnsi" w:cs="Arial"/>
        </w:rPr>
      </w:pPr>
      <w:r>
        <w:rPr>
          <w:rFonts w:eastAsiaTheme="minorHAnsi" w:cs="Arial"/>
        </w:rPr>
        <w:br w:type="page"/>
      </w:r>
    </w:p>
    <w:p w14:paraId="2E9D1EE4" w14:textId="3DEF3C42" w:rsidR="00C73B65" w:rsidRPr="00C73B65" w:rsidRDefault="00C73B65" w:rsidP="00C73B65">
      <w:pPr>
        <w:pStyle w:val="Paragraphedeliste"/>
        <w:keepNext/>
        <w:keepLines/>
        <w:numPr>
          <w:ilvl w:val="1"/>
          <w:numId w:val="8"/>
        </w:numPr>
        <w:spacing w:after="0" w:line="264" w:lineRule="auto"/>
        <w:outlineLvl w:val="2"/>
        <w:rPr>
          <w:rFonts w:cs="Arial"/>
        </w:rPr>
      </w:pPr>
      <w:r w:rsidRPr="00C73B65">
        <w:rPr>
          <w:rFonts w:cs="Arial"/>
        </w:rPr>
        <w:lastRenderedPageBreak/>
        <w:t>Synthèse de l’éthanoate de menthyle à partir d’acide éthanoïque et de menthol.</w:t>
      </w:r>
    </w:p>
    <w:p w14:paraId="5CB6CAD2" w14:textId="77777777" w:rsidR="00C73B65" w:rsidRPr="00C73B65" w:rsidRDefault="00C73B65" w:rsidP="00C73B65">
      <w:pPr>
        <w:keepNext/>
        <w:keepLines/>
        <w:spacing w:after="0" w:line="264" w:lineRule="auto"/>
        <w:ind w:left="0"/>
        <w:outlineLvl w:val="2"/>
        <w:rPr>
          <w:rFonts w:cs="Arial"/>
        </w:rPr>
      </w:pPr>
    </w:p>
    <w:p w14:paraId="6B8FCAC1" w14:textId="77777777" w:rsidR="00C73B65" w:rsidRPr="00C73B65" w:rsidRDefault="00C73B65" w:rsidP="00C73B65">
      <w:pPr>
        <w:autoSpaceDE w:val="0"/>
        <w:autoSpaceDN w:val="0"/>
        <w:adjustRightInd w:val="0"/>
        <w:spacing w:after="0" w:line="240" w:lineRule="auto"/>
        <w:ind w:left="0"/>
        <w:contextualSpacing/>
        <w:rPr>
          <w:rFonts w:eastAsia="SimSun" w:cs="Arial"/>
          <w:color w:val="000000"/>
        </w:rPr>
      </w:pPr>
      <w:r w:rsidRPr="00C73B65">
        <w:rPr>
          <w:rFonts w:eastAsia="SimSun" w:cs="Arial"/>
          <w:color w:val="000000"/>
        </w:rPr>
        <w:t>L’équation de la réaction modélisant la synthèse est la suivante :</w:t>
      </w:r>
    </w:p>
    <w:p w14:paraId="0662409C" w14:textId="77777777" w:rsidR="00C73B65" w:rsidRPr="00C73B65" w:rsidRDefault="00C73B65" w:rsidP="00C73B65">
      <w:pPr>
        <w:autoSpaceDE w:val="0"/>
        <w:autoSpaceDN w:val="0"/>
        <w:adjustRightInd w:val="0"/>
        <w:spacing w:after="0" w:line="240" w:lineRule="auto"/>
        <w:ind w:left="0"/>
        <w:contextualSpacing/>
        <w:jc w:val="center"/>
        <w:rPr>
          <w:rFonts w:eastAsia="SimSun" w:cs="Arial"/>
          <w:color w:val="000000"/>
        </w:rPr>
      </w:pPr>
      <w:r w:rsidRPr="00C73B65">
        <w:rPr>
          <w:rFonts w:cs="Arial"/>
          <w:bCs/>
          <w:lang w:eastAsia="en-US"/>
        </w:rPr>
        <w:t>C</w:t>
      </w:r>
      <w:r w:rsidRPr="00C73B65">
        <w:rPr>
          <w:rFonts w:cs="Arial"/>
          <w:bCs/>
          <w:vertAlign w:val="subscript"/>
          <w:lang w:eastAsia="en-US"/>
        </w:rPr>
        <w:t>10</w:t>
      </w:r>
      <w:r w:rsidRPr="00C73B65">
        <w:rPr>
          <w:rFonts w:cs="Arial"/>
          <w:bCs/>
          <w:lang w:eastAsia="en-US"/>
        </w:rPr>
        <w:t>H</w:t>
      </w:r>
      <w:r w:rsidRPr="00C73B65">
        <w:rPr>
          <w:rFonts w:cs="Arial"/>
          <w:bCs/>
          <w:vertAlign w:val="subscript"/>
          <w:lang w:eastAsia="en-US"/>
        </w:rPr>
        <w:t>20</w:t>
      </w:r>
      <w:r w:rsidRPr="00C73B65">
        <w:rPr>
          <w:rFonts w:cs="Arial"/>
          <w:bCs/>
          <w:lang w:eastAsia="en-US"/>
        </w:rPr>
        <w:t>O</w:t>
      </w:r>
      <w:r w:rsidRPr="00C73B65">
        <w:rPr>
          <w:rFonts w:eastAsia="SimSun" w:cs="Arial"/>
          <w:color w:val="000000"/>
        </w:rPr>
        <w:t xml:space="preserve">     +     </w:t>
      </w:r>
      <w:r w:rsidRPr="00C73B65">
        <w:rPr>
          <w:rFonts w:cs="Arial"/>
          <w:bCs/>
          <w:lang w:eastAsia="en-US"/>
        </w:rPr>
        <w:t>C</w:t>
      </w:r>
      <w:r w:rsidRPr="00C73B65">
        <w:rPr>
          <w:rFonts w:cs="Arial"/>
          <w:bCs/>
          <w:vertAlign w:val="subscript"/>
          <w:lang w:eastAsia="en-US"/>
        </w:rPr>
        <w:t>2</w:t>
      </w:r>
      <w:r w:rsidRPr="00C73B65">
        <w:rPr>
          <w:rFonts w:cs="Arial"/>
          <w:bCs/>
          <w:lang w:eastAsia="en-US"/>
        </w:rPr>
        <w:t>H</w:t>
      </w:r>
      <w:r w:rsidRPr="00C73B65">
        <w:rPr>
          <w:rFonts w:cs="Arial"/>
          <w:bCs/>
          <w:vertAlign w:val="subscript"/>
          <w:lang w:eastAsia="en-US"/>
        </w:rPr>
        <w:t>4</w:t>
      </w:r>
      <w:r w:rsidRPr="00C73B65">
        <w:rPr>
          <w:rFonts w:cs="Arial"/>
          <w:bCs/>
          <w:lang w:eastAsia="en-US"/>
        </w:rPr>
        <w:t>O</w:t>
      </w:r>
      <w:r w:rsidRPr="00C73B65">
        <w:rPr>
          <w:rFonts w:cs="Arial"/>
          <w:bCs/>
          <w:vertAlign w:val="subscript"/>
          <w:lang w:eastAsia="en-US"/>
        </w:rPr>
        <w:t>2</w:t>
      </w:r>
      <w:r w:rsidRPr="00C73B65">
        <w:rPr>
          <w:rFonts w:eastAsia="SimSun" w:cs="Arial"/>
          <w:color w:val="000000"/>
        </w:rPr>
        <w:tab/>
        <w:t xml:space="preserve">    →</w:t>
      </w:r>
      <w:r w:rsidRPr="00C73B65">
        <w:rPr>
          <w:rFonts w:eastAsia="SimSun" w:cs="Arial"/>
          <w:color w:val="000000"/>
        </w:rPr>
        <w:tab/>
      </w:r>
      <w:r w:rsidRPr="00C73B65">
        <w:rPr>
          <w:rFonts w:cs="Arial"/>
          <w:bCs/>
          <w:lang w:eastAsia="en-US"/>
        </w:rPr>
        <w:t>C</w:t>
      </w:r>
      <w:r w:rsidRPr="00C73B65">
        <w:rPr>
          <w:rFonts w:cs="Arial"/>
          <w:bCs/>
          <w:vertAlign w:val="subscript"/>
          <w:lang w:eastAsia="en-US"/>
        </w:rPr>
        <w:t>12</w:t>
      </w:r>
      <w:r w:rsidRPr="00C73B65">
        <w:rPr>
          <w:rFonts w:cs="Arial"/>
          <w:bCs/>
          <w:lang w:eastAsia="en-US"/>
        </w:rPr>
        <w:t>H</w:t>
      </w:r>
      <w:r w:rsidRPr="00C73B65">
        <w:rPr>
          <w:rFonts w:cs="Arial"/>
          <w:bCs/>
          <w:vertAlign w:val="subscript"/>
          <w:lang w:eastAsia="en-US"/>
        </w:rPr>
        <w:t>22</w:t>
      </w:r>
      <w:r w:rsidRPr="00C73B65">
        <w:rPr>
          <w:rFonts w:cs="Arial"/>
          <w:bCs/>
          <w:lang w:eastAsia="en-US"/>
        </w:rPr>
        <w:t>O</w:t>
      </w:r>
      <w:r w:rsidRPr="00C73B65">
        <w:rPr>
          <w:rFonts w:cs="Arial"/>
          <w:bCs/>
          <w:vertAlign w:val="subscript"/>
          <w:lang w:eastAsia="en-US"/>
        </w:rPr>
        <w:t>2</w:t>
      </w:r>
      <w:r w:rsidRPr="00C73B65">
        <w:rPr>
          <w:rFonts w:eastAsia="SimSun" w:cs="Arial"/>
          <w:color w:val="000000"/>
        </w:rPr>
        <w:t xml:space="preserve">        +</w:t>
      </w:r>
      <w:r w:rsidRPr="00C73B65">
        <w:rPr>
          <w:rFonts w:eastAsia="SimSun" w:cs="Arial"/>
          <w:color w:val="000000"/>
        </w:rPr>
        <w:tab/>
        <w:t>H</w:t>
      </w:r>
      <w:r w:rsidRPr="00C73B65">
        <w:rPr>
          <w:rFonts w:eastAsia="SimSun" w:cs="Arial"/>
          <w:color w:val="000000"/>
          <w:vertAlign w:val="subscript"/>
        </w:rPr>
        <w:t>2</w:t>
      </w:r>
      <w:r w:rsidRPr="00C73B65">
        <w:rPr>
          <w:rFonts w:eastAsia="SimSun" w:cs="Arial"/>
          <w:color w:val="000000"/>
        </w:rPr>
        <w:t>O</w:t>
      </w:r>
    </w:p>
    <w:p w14:paraId="025542C5" w14:textId="77777777" w:rsidR="00C73B65" w:rsidRPr="00C73B65" w:rsidRDefault="00C73B65" w:rsidP="00C73B65">
      <w:pPr>
        <w:autoSpaceDE w:val="0"/>
        <w:autoSpaceDN w:val="0"/>
        <w:adjustRightInd w:val="0"/>
        <w:spacing w:after="0" w:line="240" w:lineRule="auto"/>
        <w:ind w:left="0"/>
        <w:jc w:val="center"/>
        <w:rPr>
          <w:rFonts w:eastAsia="SimSun" w:cs="Arial"/>
          <w:color w:val="000000"/>
        </w:rPr>
      </w:pPr>
      <w:r w:rsidRPr="00C73B65">
        <w:rPr>
          <w:rFonts w:eastAsia="SimSun" w:cs="Arial"/>
          <w:color w:val="000000"/>
        </w:rPr>
        <w:t>menthol     acide éthanoïque</w:t>
      </w:r>
      <w:r w:rsidRPr="00C73B65">
        <w:rPr>
          <w:rFonts w:eastAsia="SimSun" w:cs="Arial"/>
          <w:color w:val="000000"/>
        </w:rPr>
        <w:tab/>
        <w:t>éthanoate de menthyle</w:t>
      </w:r>
    </w:p>
    <w:p w14:paraId="1BEF257C" w14:textId="77777777" w:rsidR="00C73B65" w:rsidRPr="00C73B65" w:rsidRDefault="00C73B65" w:rsidP="00C73B65">
      <w:pPr>
        <w:keepNext/>
        <w:keepLines/>
        <w:spacing w:after="0" w:line="264" w:lineRule="auto"/>
        <w:ind w:left="0"/>
        <w:outlineLvl w:val="2"/>
        <w:rPr>
          <w:rFonts w:cs="Arial"/>
        </w:rPr>
      </w:pPr>
    </w:p>
    <w:p w14:paraId="407DB614" w14:textId="77777777" w:rsidR="00C73B65" w:rsidRPr="00C73B65" w:rsidRDefault="00C73B65" w:rsidP="00C73B65">
      <w:pPr>
        <w:keepNext/>
        <w:keepLines/>
        <w:spacing w:after="0" w:line="264" w:lineRule="auto"/>
        <w:ind w:left="0"/>
        <w:outlineLvl w:val="2"/>
        <w:rPr>
          <w:rFonts w:cs="Arial"/>
        </w:rPr>
      </w:pPr>
      <w:r w:rsidRPr="00C73B65">
        <w:rPr>
          <w:rFonts w:cs="Arial"/>
        </w:rPr>
        <w:t>Protocole de synthèse en laboratoire :</w:t>
      </w:r>
    </w:p>
    <w:p w14:paraId="31BEF84E" w14:textId="77777777" w:rsidR="00C73B65" w:rsidRPr="00C73B65" w:rsidRDefault="00C73B65" w:rsidP="00381E71">
      <w:pPr>
        <w:numPr>
          <w:ilvl w:val="0"/>
          <w:numId w:val="1"/>
        </w:numPr>
        <w:tabs>
          <w:tab w:val="left" w:pos="360"/>
        </w:tabs>
        <w:autoSpaceDE w:val="0"/>
        <w:autoSpaceDN w:val="0"/>
        <w:adjustRightInd w:val="0"/>
        <w:spacing w:after="0" w:line="240" w:lineRule="auto"/>
        <w:ind w:left="0"/>
        <w:contextualSpacing/>
        <w:jc w:val="both"/>
        <w:rPr>
          <w:rFonts w:eastAsia="SimSun" w:cs="Arial"/>
          <w:color w:val="000000"/>
        </w:rPr>
      </w:pPr>
      <w:r w:rsidRPr="00C73B65">
        <w:rPr>
          <w:rFonts w:eastAsia="SimSun" w:cs="Arial"/>
          <w:color w:val="000000"/>
        </w:rPr>
        <w:t>étape 1 : verser dans un ballon 15,6 g de menthol, puis, avec précaution, 11,0 mL d’acide éthanoïque pur, et enfin, quelques gouttes d’acide sulfurique concentré ;</w:t>
      </w:r>
    </w:p>
    <w:p w14:paraId="0648966A" w14:textId="77777777" w:rsidR="00C73B65" w:rsidRPr="00C73B65" w:rsidRDefault="00C73B65" w:rsidP="00C73B65">
      <w:pPr>
        <w:numPr>
          <w:ilvl w:val="0"/>
          <w:numId w:val="1"/>
        </w:numPr>
        <w:tabs>
          <w:tab w:val="left" w:pos="360"/>
        </w:tabs>
        <w:autoSpaceDE w:val="0"/>
        <w:autoSpaceDN w:val="0"/>
        <w:adjustRightInd w:val="0"/>
        <w:spacing w:after="0" w:line="240" w:lineRule="auto"/>
        <w:ind w:left="0"/>
        <w:contextualSpacing/>
        <w:rPr>
          <w:rFonts w:eastAsia="SimSun" w:cs="Arial"/>
          <w:color w:val="000000"/>
        </w:rPr>
      </w:pPr>
      <w:r w:rsidRPr="00C73B65">
        <w:rPr>
          <w:rFonts w:eastAsia="SimSun" w:cs="Arial"/>
          <w:color w:val="000000"/>
        </w:rPr>
        <w:t>étape 2 : chauffer à reflux le mélange réactionnel durant 40 minutes environ ;</w:t>
      </w:r>
    </w:p>
    <w:p w14:paraId="29BF1E53" w14:textId="77777777" w:rsidR="00C73B65" w:rsidRPr="00C73B65" w:rsidRDefault="00C73B65" w:rsidP="00381E71">
      <w:pPr>
        <w:numPr>
          <w:ilvl w:val="0"/>
          <w:numId w:val="1"/>
        </w:numPr>
        <w:tabs>
          <w:tab w:val="left" w:pos="360"/>
        </w:tabs>
        <w:autoSpaceDE w:val="0"/>
        <w:autoSpaceDN w:val="0"/>
        <w:adjustRightInd w:val="0"/>
        <w:spacing w:after="0" w:line="240" w:lineRule="auto"/>
        <w:ind w:left="0"/>
        <w:contextualSpacing/>
        <w:jc w:val="both"/>
        <w:rPr>
          <w:rFonts w:eastAsia="SimSun" w:cs="Arial"/>
          <w:color w:val="000000"/>
        </w:rPr>
      </w:pPr>
      <w:r w:rsidRPr="00C73B65">
        <w:rPr>
          <w:rFonts w:eastAsia="SimSun" w:cs="Arial"/>
          <w:color w:val="000000"/>
        </w:rPr>
        <w:t>étape 3 : verser le mélange obtenu dans un bécher contenant 100 mL de solution aqueuse de chlorure de sodium ;</w:t>
      </w:r>
    </w:p>
    <w:p w14:paraId="23FB2A60" w14:textId="77777777" w:rsidR="00C73B65" w:rsidRPr="00C73B65" w:rsidRDefault="00C73B65" w:rsidP="00381E71">
      <w:pPr>
        <w:numPr>
          <w:ilvl w:val="0"/>
          <w:numId w:val="1"/>
        </w:numPr>
        <w:tabs>
          <w:tab w:val="left" w:pos="360"/>
        </w:tabs>
        <w:autoSpaceDE w:val="0"/>
        <w:autoSpaceDN w:val="0"/>
        <w:adjustRightInd w:val="0"/>
        <w:spacing w:after="0" w:line="240" w:lineRule="auto"/>
        <w:ind w:left="0"/>
        <w:contextualSpacing/>
        <w:jc w:val="both"/>
        <w:rPr>
          <w:rFonts w:eastAsia="SimSun" w:cs="Arial"/>
          <w:color w:val="000000"/>
        </w:rPr>
      </w:pPr>
      <w:r w:rsidRPr="00C73B65">
        <w:rPr>
          <w:rFonts w:eastAsia="SimSun" w:cs="Arial"/>
          <w:color w:val="000000"/>
        </w:rPr>
        <w:t>étape 4 : extraire la phase organique contenant l’éthanoate de menthyle à l’aide d’une ampoule à décanter ;</w:t>
      </w:r>
    </w:p>
    <w:p w14:paraId="75955EA4" w14:textId="77777777" w:rsidR="00C73B65" w:rsidRPr="00C73B65" w:rsidRDefault="00C73B65" w:rsidP="00381E71">
      <w:pPr>
        <w:numPr>
          <w:ilvl w:val="0"/>
          <w:numId w:val="1"/>
        </w:numPr>
        <w:tabs>
          <w:tab w:val="left" w:pos="360"/>
        </w:tabs>
        <w:autoSpaceDE w:val="0"/>
        <w:autoSpaceDN w:val="0"/>
        <w:adjustRightInd w:val="0"/>
        <w:spacing w:after="0" w:line="240" w:lineRule="auto"/>
        <w:ind w:left="0"/>
        <w:contextualSpacing/>
        <w:jc w:val="both"/>
        <w:rPr>
          <w:rFonts w:eastAsia="SimSun" w:cs="Arial"/>
          <w:color w:val="000000"/>
        </w:rPr>
      </w:pPr>
      <w:r w:rsidRPr="00C73B65">
        <w:rPr>
          <w:rFonts w:eastAsia="SimSun" w:cs="Arial"/>
          <w:color w:val="000000"/>
        </w:rPr>
        <w:t>étape 5 : laver la phase organique avec une solution saturée d’hydrogénocarbonate de sodium, on observe une effervescence ;</w:t>
      </w:r>
    </w:p>
    <w:p w14:paraId="7E5CBB80" w14:textId="77777777" w:rsidR="00C73B65" w:rsidRPr="00C73B65" w:rsidRDefault="00C73B65" w:rsidP="00381E71">
      <w:pPr>
        <w:numPr>
          <w:ilvl w:val="0"/>
          <w:numId w:val="1"/>
        </w:numPr>
        <w:tabs>
          <w:tab w:val="left" w:pos="360"/>
        </w:tabs>
        <w:autoSpaceDE w:val="0"/>
        <w:autoSpaceDN w:val="0"/>
        <w:adjustRightInd w:val="0"/>
        <w:spacing w:after="0" w:line="240" w:lineRule="auto"/>
        <w:ind w:left="0"/>
        <w:contextualSpacing/>
        <w:jc w:val="both"/>
        <w:rPr>
          <w:rFonts w:eastAsia="SimSun" w:cs="Arial"/>
          <w:color w:val="000000"/>
        </w:rPr>
      </w:pPr>
      <w:r w:rsidRPr="00C73B65">
        <w:rPr>
          <w:rFonts w:eastAsia="SimSun" w:cs="Arial"/>
          <w:color w:val="000000"/>
          <w:kern w:val="1"/>
        </w:rPr>
        <w:t xml:space="preserve">étape </w:t>
      </w:r>
      <w:r w:rsidRPr="00C73B65">
        <w:rPr>
          <w:rFonts w:eastAsia="SimSun" w:cs="Arial"/>
          <w:color w:val="000000"/>
        </w:rPr>
        <w:t>6 : agiter prudemment quelques instants en dégazant régulièrement, puis éliminer la phase aqueuse ;</w:t>
      </w:r>
    </w:p>
    <w:p w14:paraId="46921C5B" w14:textId="77777777" w:rsidR="00C73B65" w:rsidRPr="00C73B65" w:rsidRDefault="00C73B65" w:rsidP="00381E71">
      <w:pPr>
        <w:numPr>
          <w:ilvl w:val="0"/>
          <w:numId w:val="1"/>
        </w:numPr>
        <w:tabs>
          <w:tab w:val="left" w:pos="360"/>
        </w:tabs>
        <w:autoSpaceDE w:val="0"/>
        <w:autoSpaceDN w:val="0"/>
        <w:adjustRightInd w:val="0"/>
        <w:spacing w:after="0" w:line="240" w:lineRule="auto"/>
        <w:ind w:left="0"/>
        <w:contextualSpacing/>
        <w:jc w:val="both"/>
        <w:rPr>
          <w:rFonts w:eastAsia="SimSun" w:cs="Arial"/>
          <w:color w:val="000000"/>
        </w:rPr>
      </w:pPr>
      <w:r w:rsidRPr="00C73B65">
        <w:rPr>
          <w:rFonts w:eastAsia="SimSun" w:cs="Arial"/>
          <w:color w:val="000000"/>
        </w:rPr>
        <w:t>étape 7 : sécher la phase organique avec du sulfate de magnésium anhydre.</w:t>
      </w:r>
    </w:p>
    <w:p w14:paraId="6E569676" w14:textId="77777777" w:rsidR="00C73B65" w:rsidRPr="00C73B65" w:rsidRDefault="00C73B65" w:rsidP="00C73B65">
      <w:pPr>
        <w:autoSpaceDE w:val="0"/>
        <w:autoSpaceDN w:val="0"/>
        <w:adjustRightInd w:val="0"/>
        <w:spacing w:after="0" w:line="240" w:lineRule="auto"/>
        <w:ind w:left="0"/>
        <w:rPr>
          <w:rFonts w:eastAsia="SimSun" w:cs="Arial"/>
          <w:color w:val="000000"/>
        </w:rPr>
      </w:pPr>
    </w:p>
    <w:p w14:paraId="15B1D305" w14:textId="77777777" w:rsidR="00C27116" w:rsidRDefault="00C27116" w:rsidP="00C73B65">
      <w:pPr>
        <w:spacing w:after="0" w:line="264" w:lineRule="auto"/>
        <w:ind w:left="0"/>
        <w:contextualSpacing/>
        <w:rPr>
          <w:rFonts w:cs="Arial"/>
          <w:bCs/>
          <w:lang w:eastAsia="en-US"/>
        </w:rPr>
      </w:pPr>
    </w:p>
    <w:p w14:paraId="0AD7310B" w14:textId="44E4B99F" w:rsidR="00C73B65" w:rsidRPr="00C73B65" w:rsidRDefault="00C73B65" w:rsidP="00C73B65">
      <w:pPr>
        <w:spacing w:after="0" w:line="264" w:lineRule="auto"/>
        <w:ind w:left="0"/>
        <w:contextualSpacing/>
        <w:rPr>
          <w:rFonts w:cs="Arial"/>
          <w:bCs/>
          <w:lang w:eastAsia="en-US"/>
        </w:rPr>
      </w:pPr>
      <w:r w:rsidRPr="00C73B65">
        <w:rPr>
          <w:rFonts w:cs="Arial"/>
          <w:bCs/>
          <w:lang w:eastAsia="en-US"/>
        </w:rPr>
        <w:t>Quelques propriétés des espèces chimiques de la synthèse</w:t>
      </w:r>
      <w:r w:rsidR="00C27116">
        <w:rPr>
          <w:rFonts w:cs="Arial"/>
          <w:bCs/>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534"/>
        <w:gridCol w:w="2052"/>
        <w:gridCol w:w="1715"/>
        <w:gridCol w:w="2042"/>
      </w:tblGrid>
      <w:tr w:rsidR="00C73B65" w:rsidRPr="00C73B65" w14:paraId="4D1AD730" w14:textId="77777777" w:rsidTr="00C84C4E">
        <w:tc>
          <w:tcPr>
            <w:tcW w:w="2943" w:type="dxa"/>
            <w:shd w:val="clear" w:color="auto" w:fill="auto"/>
            <w:vAlign w:val="center"/>
          </w:tcPr>
          <w:p w14:paraId="7C81365A" w14:textId="77777777" w:rsidR="00C73B65" w:rsidRPr="00C73B65" w:rsidRDefault="00C73B65" w:rsidP="00C73B65">
            <w:pPr>
              <w:spacing w:after="0" w:line="276" w:lineRule="auto"/>
              <w:ind w:left="0"/>
              <w:jc w:val="center"/>
              <w:rPr>
                <w:rFonts w:eastAsiaTheme="minorHAnsi" w:cs="Arial"/>
                <w:b/>
                <w:lang w:eastAsia="en-US"/>
              </w:rPr>
            </w:pPr>
            <w:r w:rsidRPr="00C73B65">
              <w:rPr>
                <w:rFonts w:eastAsiaTheme="minorHAnsi" w:cs="Arial"/>
                <w:b/>
                <w:lang w:eastAsia="en-US"/>
              </w:rPr>
              <w:t>Nom</w:t>
            </w:r>
          </w:p>
        </w:tc>
        <w:tc>
          <w:tcPr>
            <w:tcW w:w="1560" w:type="dxa"/>
            <w:shd w:val="clear" w:color="auto" w:fill="auto"/>
            <w:vAlign w:val="center"/>
          </w:tcPr>
          <w:p w14:paraId="040F2637" w14:textId="77777777" w:rsidR="00C73B65" w:rsidRPr="00C73B65" w:rsidRDefault="00C73B65" w:rsidP="00C73B65">
            <w:pPr>
              <w:spacing w:after="0" w:line="276" w:lineRule="auto"/>
              <w:ind w:left="0"/>
              <w:jc w:val="center"/>
              <w:rPr>
                <w:rFonts w:eastAsiaTheme="minorHAnsi" w:cs="Arial"/>
                <w:b/>
                <w:lang w:eastAsia="en-US"/>
              </w:rPr>
            </w:pPr>
            <w:r w:rsidRPr="00C73B65">
              <w:rPr>
                <w:rFonts w:eastAsiaTheme="minorHAnsi" w:cs="Arial"/>
                <w:b/>
                <w:lang w:eastAsia="en-US"/>
              </w:rPr>
              <w:t>Formule brute</w:t>
            </w:r>
          </w:p>
        </w:tc>
        <w:tc>
          <w:tcPr>
            <w:tcW w:w="2126" w:type="dxa"/>
            <w:shd w:val="clear" w:color="auto" w:fill="auto"/>
            <w:vAlign w:val="center"/>
          </w:tcPr>
          <w:p w14:paraId="5439C7B3" w14:textId="77777777" w:rsidR="00C73B65" w:rsidRPr="00C73B65" w:rsidRDefault="00C73B65" w:rsidP="00C73B65">
            <w:pPr>
              <w:spacing w:after="0" w:line="276" w:lineRule="auto"/>
              <w:ind w:left="0"/>
              <w:jc w:val="center"/>
              <w:rPr>
                <w:rFonts w:eastAsiaTheme="minorHAnsi" w:cs="Arial"/>
                <w:b/>
                <w:vertAlign w:val="superscript"/>
                <w:lang w:eastAsia="en-US"/>
              </w:rPr>
            </w:pPr>
            <w:r w:rsidRPr="00C73B65">
              <w:rPr>
                <w:rFonts w:eastAsiaTheme="minorHAnsi" w:cs="Arial"/>
                <w:b/>
                <w:lang w:eastAsia="en-US"/>
              </w:rPr>
              <w:t>Masse molaire (g.mol</w:t>
            </w:r>
            <w:r w:rsidRPr="00C73B65">
              <w:rPr>
                <w:rFonts w:eastAsiaTheme="minorHAnsi" w:cs="Arial"/>
                <w:b/>
                <w:vertAlign w:val="superscript"/>
                <w:lang w:eastAsia="en-US"/>
              </w:rPr>
              <w:t>-1</w:t>
            </w:r>
            <w:r w:rsidRPr="00C73B65">
              <w:rPr>
                <w:rFonts w:eastAsiaTheme="minorHAnsi" w:cs="Arial"/>
                <w:b/>
                <w:lang w:eastAsia="en-US"/>
              </w:rPr>
              <w:t>)</w:t>
            </w:r>
          </w:p>
        </w:tc>
        <w:tc>
          <w:tcPr>
            <w:tcW w:w="1737" w:type="dxa"/>
            <w:shd w:val="clear" w:color="auto" w:fill="auto"/>
            <w:vAlign w:val="center"/>
          </w:tcPr>
          <w:p w14:paraId="47AEEEF3" w14:textId="77777777" w:rsidR="00C73B65" w:rsidRPr="00C73B65" w:rsidRDefault="00C73B65" w:rsidP="00C73B65">
            <w:pPr>
              <w:spacing w:after="0" w:line="276" w:lineRule="auto"/>
              <w:ind w:left="0"/>
              <w:jc w:val="center"/>
              <w:rPr>
                <w:rFonts w:eastAsiaTheme="minorHAnsi" w:cs="Arial"/>
                <w:b/>
                <w:lang w:eastAsia="en-US"/>
              </w:rPr>
            </w:pPr>
            <w:r w:rsidRPr="00C73B65">
              <w:rPr>
                <w:rFonts w:eastAsiaTheme="minorHAnsi" w:cs="Arial"/>
                <w:b/>
                <w:lang w:eastAsia="en-US"/>
              </w:rPr>
              <w:t>Masse volumique (g.mL</w:t>
            </w:r>
            <w:r w:rsidRPr="00C73B65">
              <w:rPr>
                <w:rFonts w:eastAsiaTheme="minorHAnsi" w:cs="Arial"/>
                <w:b/>
                <w:vertAlign w:val="superscript"/>
                <w:lang w:eastAsia="en-US"/>
              </w:rPr>
              <w:t>-1</w:t>
            </w:r>
            <w:r w:rsidRPr="00C73B65">
              <w:rPr>
                <w:rFonts w:eastAsiaTheme="minorHAnsi" w:cs="Arial"/>
                <w:b/>
                <w:lang w:eastAsia="en-US"/>
              </w:rPr>
              <w:t>)</w:t>
            </w:r>
          </w:p>
        </w:tc>
        <w:tc>
          <w:tcPr>
            <w:tcW w:w="2092" w:type="dxa"/>
            <w:shd w:val="clear" w:color="auto" w:fill="auto"/>
            <w:vAlign w:val="center"/>
          </w:tcPr>
          <w:p w14:paraId="1D11C0B6" w14:textId="77777777" w:rsidR="00C73B65" w:rsidRPr="00C73B65" w:rsidRDefault="00C73B65" w:rsidP="00C73B65">
            <w:pPr>
              <w:spacing w:after="0" w:line="276" w:lineRule="auto"/>
              <w:ind w:left="0"/>
              <w:jc w:val="center"/>
              <w:rPr>
                <w:rFonts w:eastAsiaTheme="minorHAnsi" w:cs="Arial"/>
                <w:b/>
                <w:lang w:eastAsia="en-US"/>
              </w:rPr>
            </w:pPr>
            <w:r w:rsidRPr="00C73B65">
              <w:rPr>
                <w:rFonts w:eastAsiaTheme="minorHAnsi" w:cs="Arial"/>
                <w:b/>
                <w:lang w:eastAsia="en-US"/>
              </w:rPr>
              <w:t>Miscibilité avec l’eau</w:t>
            </w:r>
          </w:p>
        </w:tc>
      </w:tr>
      <w:tr w:rsidR="00C73B65" w:rsidRPr="00C73B65" w14:paraId="5F372519" w14:textId="77777777" w:rsidTr="00C84C4E">
        <w:trPr>
          <w:trHeight w:val="665"/>
        </w:trPr>
        <w:tc>
          <w:tcPr>
            <w:tcW w:w="2943" w:type="dxa"/>
            <w:shd w:val="clear" w:color="auto" w:fill="auto"/>
            <w:vAlign w:val="center"/>
          </w:tcPr>
          <w:p w14:paraId="19BE3ACF" w14:textId="77777777" w:rsidR="00C73B65" w:rsidRPr="00C73B65" w:rsidRDefault="00C73B65" w:rsidP="00C73B65">
            <w:pPr>
              <w:spacing w:after="0" w:line="276" w:lineRule="auto"/>
              <w:ind w:left="0"/>
              <w:rPr>
                <w:rFonts w:eastAsiaTheme="minorHAnsi" w:cs="Arial"/>
                <w:lang w:eastAsia="en-US"/>
              </w:rPr>
            </w:pPr>
            <w:r w:rsidRPr="00C73B65">
              <w:rPr>
                <w:rFonts w:eastAsiaTheme="minorHAnsi" w:cs="Arial"/>
                <w:lang w:eastAsia="en-US"/>
              </w:rPr>
              <w:t>Menthol</w:t>
            </w:r>
          </w:p>
        </w:tc>
        <w:tc>
          <w:tcPr>
            <w:tcW w:w="1560" w:type="dxa"/>
            <w:shd w:val="clear" w:color="auto" w:fill="auto"/>
            <w:vAlign w:val="center"/>
          </w:tcPr>
          <w:p w14:paraId="31E2E008"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C</w:t>
            </w:r>
            <w:r w:rsidRPr="00C73B65">
              <w:rPr>
                <w:rFonts w:eastAsiaTheme="minorHAnsi" w:cs="Arial"/>
                <w:vertAlign w:val="subscript"/>
                <w:lang w:eastAsia="en-US"/>
              </w:rPr>
              <w:t>10</w:t>
            </w:r>
            <w:r w:rsidRPr="00C73B65">
              <w:rPr>
                <w:rFonts w:eastAsiaTheme="minorHAnsi" w:cs="Arial"/>
                <w:lang w:eastAsia="en-US"/>
              </w:rPr>
              <w:t>H</w:t>
            </w:r>
            <w:r w:rsidRPr="00C73B65">
              <w:rPr>
                <w:rFonts w:eastAsiaTheme="minorHAnsi" w:cs="Arial"/>
                <w:vertAlign w:val="subscript"/>
                <w:lang w:eastAsia="en-US"/>
              </w:rPr>
              <w:t>20</w:t>
            </w:r>
            <w:r w:rsidRPr="00C73B65">
              <w:rPr>
                <w:rFonts w:eastAsiaTheme="minorHAnsi" w:cs="Arial"/>
                <w:lang w:eastAsia="en-US"/>
              </w:rPr>
              <w:t>O</w:t>
            </w:r>
          </w:p>
        </w:tc>
        <w:tc>
          <w:tcPr>
            <w:tcW w:w="2126" w:type="dxa"/>
            <w:shd w:val="clear" w:color="auto" w:fill="auto"/>
            <w:vAlign w:val="center"/>
          </w:tcPr>
          <w:p w14:paraId="67B95BA9"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156</w:t>
            </w:r>
          </w:p>
        </w:tc>
        <w:tc>
          <w:tcPr>
            <w:tcW w:w="1737" w:type="dxa"/>
            <w:shd w:val="clear" w:color="auto" w:fill="auto"/>
            <w:vAlign w:val="center"/>
          </w:tcPr>
          <w:p w14:paraId="4CFE4A8B"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0,89</w:t>
            </w:r>
          </w:p>
        </w:tc>
        <w:tc>
          <w:tcPr>
            <w:tcW w:w="2092" w:type="dxa"/>
            <w:shd w:val="clear" w:color="auto" w:fill="auto"/>
            <w:vAlign w:val="center"/>
          </w:tcPr>
          <w:p w14:paraId="527EA2C4"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partielle</w:t>
            </w:r>
          </w:p>
        </w:tc>
      </w:tr>
      <w:tr w:rsidR="00C73B65" w:rsidRPr="00C73B65" w14:paraId="1DE33CFB" w14:textId="77777777" w:rsidTr="00C84C4E">
        <w:tc>
          <w:tcPr>
            <w:tcW w:w="2943" w:type="dxa"/>
            <w:shd w:val="clear" w:color="auto" w:fill="auto"/>
            <w:vAlign w:val="center"/>
          </w:tcPr>
          <w:p w14:paraId="61971F80" w14:textId="77777777" w:rsidR="00C73B65" w:rsidRPr="00C73B65" w:rsidRDefault="00C73B65" w:rsidP="00C73B65">
            <w:pPr>
              <w:spacing w:after="0" w:line="276" w:lineRule="auto"/>
              <w:ind w:left="0"/>
              <w:rPr>
                <w:rFonts w:eastAsiaTheme="minorHAnsi" w:cs="Arial"/>
                <w:lang w:eastAsia="en-US"/>
              </w:rPr>
            </w:pPr>
            <w:r w:rsidRPr="00C73B65">
              <w:rPr>
                <w:rFonts w:eastAsiaTheme="minorHAnsi" w:cs="Arial"/>
                <w:lang w:eastAsia="en-US"/>
              </w:rPr>
              <w:t>Acide éthanoïque</w:t>
            </w:r>
          </w:p>
          <w:p w14:paraId="7DA04F28"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noProof/>
                <w:lang w:eastAsia="en-US"/>
              </w:rPr>
              <w:object w:dxaOrig="1133" w:dyaOrig="917" w14:anchorId="4D83422A">
                <v:shape id="_x0000_i1028" type="#_x0000_t75" alt="" style="width:71.25pt;height:57.75pt;mso-width-percent:0;mso-height-percent:0;mso-width-percent:0;mso-height-percent:0" o:ole="">
                  <v:imagedata r:id="rId15" o:title=""/>
                </v:shape>
                <o:OLEObject Type="Embed" ProgID="ACD.ChemSketch.20" ShapeID="_x0000_i1028" DrawAspect="Content" ObjectID="_1645701552" r:id="rId16"/>
              </w:object>
            </w:r>
          </w:p>
        </w:tc>
        <w:tc>
          <w:tcPr>
            <w:tcW w:w="1560" w:type="dxa"/>
            <w:shd w:val="clear" w:color="auto" w:fill="auto"/>
            <w:vAlign w:val="center"/>
          </w:tcPr>
          <w:p w14:paraId="0A09B3AF"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C</w:t>
            </w:r>
            <w:r w:rsidRPr="00C73B65">
              <w:rPr>
                <w:rFonts w:eastAsiaTheme="minorHAnsi" w:cs="Arial"/>
                <w:vertAlign w:val="subscript"/>
                <w:lang w:eastAsia="en-US"/>
              </w:rPr>
              <w:t>2</w:t>
            </w:r>
            <w:r w:rsidRPr="00C73B65">
              <w:rPr>
                <w:rFonts w:eastAsiaTheme="minorHAnsi" w:cs="Arial"/>
                <w:lang w:eastAsia="en-US"/>
              </w:rPr>
              <w:t>H</w:t>
            </w:r>
            <w:r w:rsidRPr="00C73B65">
              <w:rPr>
                <w:rFonts w:eastAsiaTheme="minorHAnsi" w:cs="Arial"/>
                <w:vertAlign w:val="subscript"/>
                <w:lang w:eastAsia="en-US"/>
              </w:rPr>
              <w:t>4</w:t>
            </w:r>
            <w:r w:rsidRPr="00C73B65">
              <w:rPr>
                <w:rFonts w:eastAsiaTheme="minorHAnsi" w:cs="Arial"/>
                <w:lang w:eastAsia="en-US"/>
              </w:rPr>
              <w:t>O</w:t>
            </w:r>
            <w:r w:rsidRPr="00C73B65">
              <w:rPr>
                <w:rFonts w:eastAsiaTheme="minorHAnsi" w:cs="Arial"/>
                <w:vertAlign w:val="subscript"/>
                <w:lang w:eastAsia="en-US"/>
              </w:rPr>
              <w:t>2</w:t>
            </w:r>
          </w:p>
        </w:tc>
        <w:tc>
          <w:tcPr>
            <w:tcW w:w="2126" w:type="dxa"/>
            <w:shd w:val="clear" w:color="auto" w:fill="auto"/>
            <w:vAlign w:val="center"/>
          </w:tcPr>
          <w:p w14:paraId="313F07AF"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60</w:t>
            </w:r>
          </w:p>
        </w:tc>
        <w:tc>
          <w:tcPr>
            <w:tcW w:w="1737" w:type="dxa"/>
            <w:shd w:val="clear" w:color="auto" w:fill="auto"/>
            <w:vAlign w:val="center"/>
          </w:tcPr>
          <w:p w14:paraId="5A168683"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1,05</w:t>
            </w:r>
          </w:p>
        </w:tc>
        <w:tc>
          <w:tcPr>
            <w:tcW w:w="2092" w:type="dxa"/>
            <w:shd w:val="clear" w:color="auto" w:fill="auto"/>
            <w:vAlign w:val="center"/>
          </w:tcPr>
          <w:p w14:paraId="2D332370"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presque totale</w:t>
            </w:r>
          </w:p>
        </w:tc>
      </w:tr>
      <w:tr w:rsidR="00C73B65" w:rsidRPr="00C73B65" w14:paraId="274BE579" w14:textId="77777777" w:rsidTr="00C84C4E">
        <w:tc>
          <w:tcPr>
            <w:tcW w:w="2943" w:type="dxa"/>
            <w:shd w:val="clear" w:color="auto" w:fill="auto"/>
            <w:vAlign w:val="center"/>
          </w:tcPr>
          <w:p w14:paraId="31A732FD" w14:textId="77777777" w:rsidR="00C73B65" w:rsidRPr="00C73B65" w:rsidRDefault="00C73B65" w:rsidP="00C73B65">
            <w:pPr>
              <w:spacing w:after="0" w:line="276" w:lineRule="auto"/>
              <w:ind w:left="0"/>
              <w:rPr>
                <w:rFonts w:eastAsiaTheme="minorHAnsi" w:cs="Arial"/>
                <w:lang w:eastAsia="en-US"/>
              </w:rPr>
            </w:pPr>
            <w:r w:rsidRPr="00C73B65">
              <w:rPr>
                <w:rFonts w:eastAsiaTheme="minorHAnsi" w:cs="Arial"/>
                <w:lang w:eastAsia="en-US"/>
              </w:rPr>
              <w:t>Éthanoate de menthyle</w:t>
            </w:r>
          </w:p>
        </w:tc>
        <w:tc>
          <w:tcPr>
            <w:tcW w:w="1560" w:type="dxa"/>
            <w:shd w:val="clear" w:color="auto" w:fill="auto"/>
            <w:vAlign w:val="center"/>
          </w:tcPr>
          <w:p w14:paraId="765BEA86"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C</w:t>
            </w:r>
            <w:r w:rsidRPr="00C73B65">
              <w:rPr>
                <w:rFonts w:eastAsiaTheme="minorHAnsi" w:cs="Arial"/>
                <w:vertAlign w:val="subscript"/>
                <w:lang w:eastAsia="en-US"/>
              </w:rPr>
              <w:t>12</w:t>
            </w:r>
            <w:r w:rsidRPr="00C73B65">
              <w:rPr>
                <w:rFonts w:eastAsiaTheme="minorHAnsi" w:cs="Arial"/>
                <w:lang w:eastAsia="en-US"/>
              </w:rPr>
              <w:t>H</w:t>
            </w:r>
            <w:r w:rsidRPr="00C73B65">
              <w:rPr>
                <w:rFonts w:eastAsiaTheme="minorHAnsi" w:cs="Arial"/>
                <w:vertAlign w:val="subscript"/>
                <w:lang w:eastAsia="en-US"/>
              </w:rPr>
              <w:t>22</w:t>
            </w:r>
            <w:r w:rsidRPr="00C73B65">
              <w:rPr>
                <w:rFonts w:eastAsiaTheme="minorHAnsi" w:cs="Arial"/>
                <w:lang w:eastAsia="en-US"/>
              </w:rPr>
              <w:t>O</w:t>
            </w:r>
            <w:r w:rsidRPr="00C73B65">
              <w:rPr>
                <w:rFonts w:eastAsiaTheme="minorHAnsi" w:cs="Arial"/>
                <w:vertAlign w:val="subscript"/>
                <w:lang w:eastAsia="en-US"/>
              </w:rPr>
              <w:t>2</w:t>
            </w:r>
          </w:p>
        </w:tc>
        <w:tc>
          <w:tcPr>
            <w:tcW w:w="2126" w:type="dxa"/>
            <w:shd w:val="clear" w:color="auto" w:fill="auto"/>
            <w:vAlign w:val="center"/>
          </w:tcPr>
          <w:p w14:paraId="3F4115FC"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198</w:t>
            </w:r>
          </w:p>
        </w:tc>
        <w:tc>
          <w:tcPr>
            <w:tcW w:w="1737" w:type="dxa"/>
            <w:shd w:val="clear" w:color="auto" w:fill="auto"/>
            <w:vAlign w:val="center"/>
          </w:tcPr>
          <w:p w14:paraId="3EF52F67"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0,92</w:t>
            </w:r>
          </w:p>
        </w:tc>
        <w:tc>
          <w:tcPr>
            <w:tcW w:w="2092" w:type="dxa"/>
            <w:shd w:val="clear" w:color="auto" w:fill="auto"/>
            <w:vAlign w:val="center"/>
          </w:tcPr>
          <w:p w14:paraId="5F284780"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très faible</w:t>
            </w:r>
          </w:p>
        </w:tc>
      </w:tr>
    </w:tbl>
    <w:p w14:paraId="25AF22FB" w14:textId="77777777" w:rsidR="00C73B65" w:rsidRPr="00C73B65" w:rsidRDefault="00C73B65" w:rsidP="00C73B65">
      <w:pPr>
        <w:spacing w:after="0" w:line="264" w:lineRule="auto"/>
        <w:ind w:left="0"/>
        <w:contextualSpacing/>
        <w:jc w:val="both"/>
        <w:rPr>
          <w:rFonts w:cs="Arial"/>
          <w:lang w:eastAsia="en-US"/>
        </w:rPr>
      </w:pPr>
    </w:p>
    <w:p w14:paraId="4ADDD0B9" w14:textId="77777777" w:rsidR="00C73B65" w:rsidRPr="00C73B65" w:rsidRDefault="00C73B65" w:rsidP="00C73B65">
      <w:pPr>
        <w:spacing w:after="0" w:line="264" w:lineRule="auto"/>
        <w:ind w:left="0"/>
        <w:contextualSpacing/>
        <w:jc w:val="both"/>
        <w:rPr>
          <w:rFonts w:cs="Arial"/>
          <w:lang w:eastAsia="en-US"/>
        </w:rPr>
      </w:pPr>
      <w:r w:rsidRPr="00C73B65">
        <w:rPr>
          <w:rFonts w:cs="Arial"/>
          <w:lang w:eastAsia="en-US"/>
        </w:rPr>
        <w:t xml:space="preserve">- Électronégativités de quelques éléments : </w:t>
      </w:r>
    </w:p>
    <w:p w14:paraId="39AF7106" w14:textId="61F91A84" w:rsidR="00C73B65" w:rsidRPr="00C73B65" w:rsidRDefault="00C73B65" w:rsidP="00C27116">
      <w:pPr>
        <w:spacing w:after="0" w:line="264" w:lineRule="auto"/>
        <w:ind w:left="0"/>
        <w:contextualSpacing/>
        <w:jc w:val="both"/>
        <w:rPr>
          <w:rFonts w:cs="Arial"/>
          <w:lang w:eastAsia="en-US"/>
        </w:rPr>
      </w:pPr>
      <w:r w:rsidRPr="00C73B65">
        <w:rPr>
          <w:rFonts w:cs="Arial"/>
          <w:lang w:eastAsia="en-US"/>
        </w:rPr>
        <w:t>O : 3,2 </w:t>
      </w:r>
      <w:r w:rsidRPr="00C73B65">
        <w:rPr>
          <w:rFonts w:cs="Arial"/>
          <w:lang w:eastAsia="en-US"/>
        </w:rPr>
        <w:tab/>
      </w:r>
      <w:r w:rsidRPr="00C73B65">
        <w:rPr>
          <w:rFonts w:cs="Arial"/>
          <w:lang w:eastAsia="en-US"/>
        </w:rPr>
        <w:tab/>
        <w:t xml:space="preserve"> C : 2,6 </w:t>
      </w:r>
      <w:r w:rsidRPr="00C73B65">
        <w:rPr>
          <w:rFonts w:cs="Arial"/>
          <w:lang w:eastAsia="en-US"/>
        </w:rPr>
        <w:tab/>
      </w:r>
      <w:r w:rsidRPr="00C73B65">
        <w:rPr>
          <w:rFonts w:cs="Arial"/>
          <w:lang w:eastAsia="en-US"/>
        </w:rPr>
        <w:tab/>
        <w:t>H : 2,2 </w:t>
      </w:r>
    </w:p>
    <w:p w14:paraId="1A8FBFE9" w14:textId="47D108D8" w:rsidR="00C73B65" w:rsidRPr="00C73B65" w:rsidRDefault="00C73B65" w:rsidP="00C73B65">
      <w:pPr>
        <w:pStyle w:val="Paragraphedeliste"/>
        <w:keepNext/>
        <w:keepLines/>
        <w:numPr>
          <w:ilvl w:val="2"/>
          <w:numId w:val="8"/>
        </w:numPr>
        <w:spacing w:after="0" w:line="264" w:lineRule="auto"/>
        <w:outlineLvl w:val="3"/>
        <w:rPr>
          <w:rFonts w:cs="Arial"/>
        </w:rPr>
      </w:pPr>
      <w:r w:rsidRPr="00C73B65">
        <w:rPr>
          <w:rFonts w:cs="Arial"/>
        </w:rPr>
        <w:t>Justifier le nom de l’acide éthanoïque.</w:t>
      </w:r>
    </w:p>
    <w:p w14:paraId="17C20120" w14:textId="7D0CE3C2" w:rsidR="00C73B65" w:rsidRPr="00C73B65" w:rsidRDefault="00C73B65" w:rsidP="00C73B65">
      <w:pPr>
        <w:pStyle w:val="Paragraphedeliste"/>
        <w:keepNext/>
        <w:keepLines/>
        <w:numPr>
          <w:ilvl w:val="2"/>
          <w:numId w:val="8"/>
        </w:numPr>
        <w:spacing w:after="0" w:line="264" w:lineRule="auto"/>
        <w:outlineLvl w:val="3"/>
        <w:rPr>
          <w:rFonts w:cs="Arial"/>
        </w:rPr>
      </w:pPr>
      <w:r w:rsidRPr="00C73B65">
        <w:rPr>
          <w:rFonts w:cs="Arial"/>
        </w:rPr>
        <w:t>Indiquer l’intérêt d’utiliser un chauffage à reflux durant la synthèse.</w:t>
      </w:r>
    </w:p>
    <w:p w14:paraId="08B1D3F0" w14:textId="243DE299" w:rsidR="00C73B65" w:rsidRPr="00C73B65" w:rsidRDefault="00C73B65" w:rsidP="00381E71">
      <w:pPr>
        <w:pStyle w:val="Paragraphedeliste"/>
        <w:keepNext/>
        <w:keepLines/>
        <w:numPr>
          <w:ilvl w:val="2"/>
          <w:numId w:val="8"/>
        </w:numPr>
        <w:spacing w:after="0" w:line="264" w:lineRule="auto"/>
        <w:jc w:val="both"/>
        <w:outlineLvl w:val="3"/>
        <w:rPr>
          <w:rFonts w:cs="Arial"/>
        </w:rPr>
      </w:pPr>
      <w:r w:rsidRPr="00C73B65">
        <w:rPr>
          <w:rFonts w:cs="Arial"/>
        </w:rPr>
        <w:t>Expliquer la très forte miscibilité de l’acide éthanoïque avec l’eau.</w:t>
      </w:r>
    </w:p>
    <w:p w14:paraId="291C5137" w14:textId="70F2A49A" w:rsidR="00C73B65" w:rsidRPr="00C73B65" w:rsidRDefault="00C73B65" w:rsidP="00381E71">
      <w:pPr>
        <w:pStyle w:val="Paragraphedeliste"/>
        <w:keepNext/>
        <w:keepLines/>
        <w:numPr>
          <w:ilvl w:val="2"/>
          <w:numId w:val="8"/>
        </w:numPr>
        <w:spacing w:after="0" w:line="264" w:lineRule="auto"/>
        <w:jc w:val="both"/>
        <w:outlineLvl w:val="3"/>
        <w:rPr>
          <w:rFonts w:cs="Arial"/>
        </w:rPr>
      </w:pPr>
      <w:r w:rsidRPr="00C73B65">
        <w:rPr>
          <w:rFonts w:cs="Arial"/>
        </w:rPr>
        <w:t>Justifier la présence de deux phases dans le bécher à l’issue de l’étape 3 du protocole.</w:t>
      </w:r>
    </w:p>
    <w:p w14:paraId="3E647935" w14:textId="624BFA22" w:rsidR="00C73B65" w:rsidRPr="00C73B65" w:rsidRDefault="00C73B65" w:rsidP="00C73B65">
      <w:pPr>
        <w:pStyle w:val="Paragraphedeliste"/>
        <w:keepNext/>
        <w:keepLines/>
        <w:numPr>
          <w:ilvl w:val="2"/>
          <w:numId w:val="8"/>
        </w:numPr>
        <w:spacing w:after="0" w:line="264" w:lineRule="auto"/>
        <w:outlineLvl w:val="3"/>
        <w:rPr>
          <w:rFonts w:cs="Arial"/>
        </w:rPr>
      </w:pPr>
      <w:r w:rsidRPr="00C73B65">
        <w:rPr>
          <w:rFonts w:cs="Arial"/>
        </w:rPr>
        <w:t>Montrer que le menthol est le réactif limitant.</w:t>
      </w:r>
    </w:p>
    <w:p w14:paraId="76DBC2B3" w14:textId="0499676B" w:rsidR="00C73B65" w:rsidRPr="00C27116" w:rsidRDefault="00C73B65" w:rsidP="00381E71">
      <w:pPr>
        <w:pStyle w:val="Paragraphedeliste"/>
        <w:keepNext/>
        <w:keepLines/>
        <w:numPr>
          <w:ilvl w:val="2"/>
          <w:numId w:val="8"/>
        </w:numPr>
        <w:spacing w:after="0" w:line="264" w:lineRule="auto"/>
        <w:jc w:val="both"/>
        <w:outlineLvl w:val="3"/>
        <w:rPr>
          <w:rFonts w:cs="Arial"/>
        </w:rPr>
      </w:pPr>
      <w:r w:rsidRPr="00C73B65">
        <w:rPr>
          <w:rFonts w:cs="Arial"/>
        </w:rPr>
        <w:t>À la fin de la synthèse on a obtenu un volume égal à 13 mL d’éthanoate de menthyle. Déterminer le rendement de la réaction.</w:t>
      </w:r>
    </w:p>
    <w:p w14:paraId="34C980CB" w14:textId="1C6974E3" w:rsidR="00C73B65" w:rsidRPr="00C73B65" w:rsidRDefault="00C73B65" w:rsidP="00C73B65">
      <w:pPr>
        <w:pStyle w:val="Paragraphedeliste"/>
        <w:keepNext/>
        <w:keepLines/>
        <w:numPr>
          <w:ilvl w:val="0"/>
          <w:numId w:val="8"/>
        </w:numPr>
        <w:spacing w:after="0" w:line="264" w:lineRule="auto"/>
        <w:jc w:val="both"/>
        <w:outlineLvl w:val="1"/>
        <w:rPr>
          <w:rFonts w:cs="Arial"/>
          <w:b/>
          <w:lang w:eastAsia="en-US"/>
        </w:rPr>
      </w:pPr>
      <w:r w:rsidRPr="00C73B65">
        <w:rPr>
          <w:rFonts w:cs="Arial"/>
          <w:b/>
          <w:lang w:eastAsia="en-US"/>
        </w:rPr>
        <w:t>Couleur du sirop : dosage du bleu patenté V</w:t>
      </w:r>
    </w:p>
    <w:p w14:paraId="18FA7DC2" w14:textId="77777777" w:rsidR="00C73B65" w:rsidRPr="00C73B65" w:rsidRDefault="00C73B65" w:rsidP="00381E71">
      <w:pPr>
        <w:spacing w:after="0" w:line="276" w:lineRule="auto"/>
        <w:ind w:left="0"/>
        <w:jc w:val="both"/>
        <w:rPr>
          <w:rFonts w:eastAsiaTheme="minorHAnsi" w:cs="Arial"/>
          <w:lang w:eastAsia="en-US"/>
        </w:rPr>
      </w:pPr>
      <w:r w:rsidRPr="00C73B65">
        <w:rPr>
          <w:rFonts w:eastAsiaTheme="minorHAnsi" w:cs="Arial"/>
          <w:lang w:eastAsia="en-US"/>
        </w:rPr>
        <w:t>Dans de nombreux sirops commerciaux la couleur verte est obtenue en mélangeant deux colorants couramment utilisés dans l’industrie agroalimentaire : la tartrazine (E102) et le bleu patenté V (E131).</w:t>
      </w:r>
    </w:p>
    <w:p w14:paraId="5CB73133" w14:textId="77777777" w:rsidR="00C73B65" w:rsidRPr="00C73B65" w:rsidRDefault="00C73B65" w:rsidP="00381E71">
      <w:pPr>
        <w:autoSpaceDE w:val="0"/>
        <w:autoSpaceDN w:val="0"/>
        <w:adjustRightInd w:val="0"/>
        <w:spacing w:after="0" w:line="240" w:lineRule="auto"/>
        <w:ind w:left="0"/>
        <w:jc w:val="both"/>
        <w:rPr>
          <w:rFonts w:eastAsia="SimSun" w:cs="Arial"/>
          <w:color w:val="000000"/>
        </w:rPr>
      </w:pPr>
      <w:r w:rsidRPr="00C73B65">
        <w:rPr>
          <w:rFonts w:eastAsia="SimSun" w:cs="Arial"/>
          <w:color w:val="000000"/>
        </w:rPr>
        <w:t>L’Autorité européenne de sécurité des aliments conseille que la consommation de bleu patenté V reste inférieure à 5 mg/kg de masse corporelle par jour pour toute catégorie de population (enfants, adultes, séniors).</w:t>
      </w:r>
    </w:p>
    <w:p w14:paraId="14D02DF3" w14:textId="7ACB3E04" w:rsidR="00744B77" w:rsidRDefault="00744B77" w:rsidP="00744B77">
      <w:pPr>
        <w:autoSpaceDE w:val="0"/>
        <w:autoSpaceDN w:val="0"/>
        <w:adjustRightInd w:val="0"/>
        <w:spacing w:after="0" w:line="240" w:lineRule="auto"/>
        <w:ind w:left="0"/>
        <w:contextualSpacing/>
        <w:jc w:val="right"/>
        <w:rPr>
          <w:rFonts w:eastAsia="SimSun" w:cs="Arial"/>
          <w:i/>
          <w:iCs/>
          <w:color w:val="000000"/>
        </w:rPr>
      </w:pPr>
      <w:hyperlink r:id="rId17" w:history="1">
        <w:r w:rsidRPr="007F6570">
          <w:rPr>
            <w:rStyle w:val="Lienhypertexte"/>
            <w:rFonts w:eastAsia="SimSun" w:cs="Arial"/>
            <w:i/>
            <w:iCs/>
          </w:rPr>
          <w:t>http://www.efsa.europa.eu/fr/efsajournal/pub/2818</w:t>
        </w:r>
      </w:hyperlink>
      <w:r>
        <w:rPr>
          <w:rFonts w:eastAsia="SimSun" w:cs="Arial"/>
          <w:i/>
          <w:iCs/>
          <w:color w:val="000000"/>
        </w:rPr>
        <w:br w:type="page"/>
      </w:r>
    </w:p>
    <w:p w14:paraId="77BF13F3" w14:textId="77777777" w:rsidR="00C73B65" w:rsidRPr="00C73B65" w:rsidRDefault="00C73B65" w:rsidP="00C73B65">
      <w:pPr>
        <w:autoSpaceDE w:val="0"/>
        <w:autoSpaceDN w:val="0"/>
        <w:adjustRightInd w:val="0"/>
        <w:spacing w:after="0" w:line="240" w:lineRule="auto"/>
        <w:ind w:left="0"/>
        <w:contextualSpacing/>
        <w:jc w:val="right"/>
        <w:rPr>
          <w:rFonts w:eastAsia="SimSun" w:cs="Arial"/>
          <w:i/>
          <w:iCs/>
          <w:color w:val="000000"/>
        </w:rPr>
      </w:pPr>
    </w:p>
    <w:p w14:paraId="487D2C86" w14:textId="77777777" w:rsidR="00C73B65" w:rsidRPr="00C73B65" w:rsidRDefault="00C73B65" w:rsidP="00381E71">
      <w:pPr>
        <w:spacing w:after="0" w:line="276" w:lineRule="auto"/>
        <w:ind w:left="0"/>
        <w:jc w:val="both"/>
        <w:rPr>
          <w:rFonts w:eastAsiaTheme="minorHAnsi" w:cs="Arial"/>
          <w:lang w:eastAsia="en-US"/>
        </w:rPr>
      </w:pPr>
      <w:bookmarkStart w:id="0" w:name="_GoBack"/>
      <w:bookmarkEnd w:id="0"/>
      <w:r w:rsidRPr="00C73B65">
        <w:rPr>
          <w:rFonts w:eastAsiaTheme="minorHAnsi" w:cs="Arial"/>
          <w:lang w:eastAsia="en-US"/>
        </w:rPr>
        <w:t>Pour déterminer le risque de dépasser cette recommandation européenne, on se propose d’effectuer un dosage du bleu patenté V dans un sirop commercial.</w:t>
      </w:r>
    </w:p>
    <w:p w14:paraId="0187DDFC" w14:textId="77777777" w:rsidR="00C73B65" w:rsidRPr="00C73B65" w:rsidRDefault="00C73B65" w:rsidP="00381E71">
      <w:pPr>
        <w:autoSpaceDE w:val="0"/>
        <w:autoSpaceDN w:val="0"/>
        <w:adjustRightInd w:val="0"/>
        <w:spacing w:after="0" w:line="240" w:lineRule="auto"/>
        <w:ind w:left="0"/>
        <w:jc w:val="both"/>
        <w:rPr>
          <w:rFonts w:eastAsia="SimSun" w:cs="Arial"/>
          <w:color w:val="000000"/>
        </w:rPr>
      </w:pPr>
      <w:r w:rsidRPr="00C73B65">
        <w:rPr>
          <w:rFonts w:eastAsia="SimSun" w:cs="Arial"/>
          <w:color w:val="000000"/>
        </w:rPr>
        <w:t>On prépare l’échelle de teinte suivante à partir d’une solution mère de bleu patenté V, notée S</w:t>
      </w:r>
      <w:r w:rsidRPr="00C73B65">
        <w:rPr>
          <w:rFonts w:eastAsia="SimSun" w:cs="Arial"/>
          <w:color w:val="000000"/>
          <w:vertAlign w:val="subscript"/>
        </w:rPr>
        <w:t>0</w:t>
      </w:r>
      <w:r w:rsidRPr="00C73B65">
        <w:rPr>
          <w:rFonts w:eastAsia="SimSun" w:cs="Arial"/>
          <w:color w:val="000000"/>
        </w:rPr>
        <w:t>, de concentration en masse égale à 16 mg∙L</w:t>
      </w:r>
      <w:r w:rsidRPr="00C73B65">
        <w:rPr>
          <w:rFonts w:eastAsia="SimSun" w:cs="Arial"/>
          <w:color w:val="000000"/>
          <w:vertAlign w:val="superscript"/>
        </w:rPr>
        <w:t>-1</w:t>
      </w:r>
      <w:r w:rsidRPr="00C73B65">
        <w:rPr>
          <w:rFonts w:eastAsia="SimSun" w:cs="Arial"/>
          <w:color w:val="000000"/>
        </w:rPr>
        <w:t> :</w:t>
      </w:r>
    </w:p>
    <w:p w14:paraId="545BB2E9" w14:textId="77777777" w:rsidR="00C73B65" w:rsidRPr="00C73B65" w:rsidRDefault="00C73B65" w:rsidP="00C73B65">
      <w:pPr>
        <w:autoSpaceDE w:val="0"/>
        <w:autoSpaceDN w:val="0"/>
        <w:adjustRightInd w:val="0"/>
        <w:spacing w:after="0" w:line="240" w:lineRule="auto"/>
        <w:ind w:left="0"/>
        <w:contextualSpacing/>
        <w:rPr>
          <w:rFonts w:eastAsia="SimSun" w:cs="Arial"/>
          <w:color w:val="000000"/>
        </w:rPr>
      </w:pPr>
    </w:p>
    <w:tbl>
      <w:tblPr>
        <w:tblStyle w:val="Grilledutableau1"/>
        <w:tblW w:w="0" w:type="auto"/>
        <w:jc w:val="center"/>
        <w:tblLook w:val="04A0" w:firstRow="1" w:lastRow="0" w:firstColumn="1" w:lastColumn="0" w:noHBand="0" w:noVBand="1"/>
      </w:tblPr>
      <w:tblGrid>
        <w:gridCol w:w="1995"/>
        <w:gridCol w:w="1859"/>
        <w:gridCol w:w="1859"/>
        <w:gridCol w:w="1509"/>
        <w:gridCol w:w="1861"/>
      </w:tblGrid>
      <w:tr w:rsidR="00C73B65" w:rsidRPr="00C73B65" w14:paraId="52DFE521" w14:textId="77777777" w:rsidTr="00C84C4E">
        <w:trPr>
          <w:trHeight w:val="387"/>
          <w:jc w:val="center"/>
        </w:trPr>
        <w:tc>
          <w:tcPr>
            <w:tcW w:w="1995" w:type="dxa"/>
            <w:vAlign w:val="center"/>
          </w:tcPr>
          <w:p w14:paraId="5CEB6E7C"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Solution fille</w:t>
            </w:r>
          </w:p>
        </w:tc>
        <w:tc>
          <w:tcPr>
            <w:tcW w:w="1859" w:type="dxa"/>
            <w:vAlign w:val="center"/>
          </w:tcPr>
          <w:p w14:paraId="4EFA682F"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S</w:t>
            </w:r>
            <w:r w:rsidRPr="00C73B65">
              <w:rPr>
                <w:rFonts w:ascii="Arial" w:hAnsi="Arial" w:cs="Arial"/>
                <w:vertAlign w:val="subscript"/>
              </w:rPr>
              <w:t>1</w:t>
            </w:r>
          </w:p>
        </w:tc>
        <w:tc>
          <w:tcPr>
            <w:tcW w:w="1859" w:type="dxa"/>
            <w:vAlign w:val="center"/>
          </w:tcPr>
          <w:p w14:paraId="777BA471"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S</w:t>
            </w:r>
            <w:r w:rsidRPr="00C73B65">
              <w:rPr>
                <w:rFonts w:ascii="Arial" w:hAnsi="Arial" w:cs="Arial"/>
                <w:vertAlign w:val="subscript"/>
              </w:rPr>
              <w:t>2</w:t>
            </w:r>
          </w:p>
        </w:tc>
        <w:tc>
          <w:tcPr>
            <w:tcW w:w="1509" w:type="dxa"/>
            <w:vAlign w:val="center"/>
          </w:tcPr>
          <w:p w14:paraId="5D608D4B"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S</w:t>
            </w:r>
            <w:r w:rsidRPr="00C73B65">
              <w:rPr>
                <w:rFonts w:ascii="Arial" w:hAnsi="Arial" w:cs="Arial"/>
                <w:vertAlign w:val="subscript"/>
              </w:rPr>
              <w:t>3</w:t>
            </w:r>
          </w:p>
        </w:tc>
        <w:tc>
          <w:tcPr>
            <w:tcW w:w="1861" w:type="dxa"/>
            <w:vAlign w:val="center"/>
          </w:tcPr>
          <w:p w14:paraId="5C195507"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S</w:t>
            </w:r>
            <w:r w:rsidRPr="00C73B65">
              <w:rPr>
                <w:rFonts w:ascii="Arial" w:hAnsi="Arial" w:cs="Arial"/>
                <w:vertAlign w:val="subscript"/>
              </w:rPr>
              <w:t>4</w:t>
            </w:r>
          </w:p>
        </w:tc>
      </w:tr>
      <w:tr w:rsidR="00C73B65" w:rsidRPr="00C73B65" w14:paraId="22C51E23" w14:textId="77777777" w:rsidTr="00C84C4E">
        <w:trPr>
          <w:trHeight w:val="776"/>
          <w:jc w:val="center"/>
        </w:trPr>
        <w:tc>
          <w:tcPr>
            <w:tcW w:w="1995" w:type="dxa"/>
            <w:vAlign w:val="center"/>
          </w:tcPr>
          <w:p w14:paraId="7265F8EE"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Concentration en masse</w:t>
            </w:r>
          </w:p>
        </w:tc>
        <w:tc>
          <w:tcPr>
            <w:tcW w:w="1859" w:type="dxa"/>
            <w:vAlign w:val="center"/>
          </w:tcPr>
          <w:p w14:paraId="4D0BA969"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 xml:space="preserve">12 </w:t>
            </w:r>
            <w:r w:rsidRPr="00C73B65">
              <w:rPr>
                <w:rFonts w:ascii="Arial" w:eastAsia="SimSun" w:hAnsi="Arial" w:cs="Arial"/>
                <w:color w:val="000000"/>
              </w:rPr>
              <w:t>mg∙L</w:t>
            </w:r>
            <w:r w:rsidRPr="00C73B65">
              <w:rPr>
                <w:rFonts w:ascii="Arial" w:eastAsia="SimSun" w:hAnsi="Arial" w:cs="Arial"/>
                <w:color w:val="000000"/>
                <w:vertAlign w:val="superscript"/>
              </w:rPr>
              <w:t>-1</w:t>
            </w:r>
          </w:p>
        </w:tc>
        <w:tc>
          <w:tcPr>
            <w:tcW w:w="1859" w:type="dxa"/>
            <w:vAlign w:val="center"/>
          </w:tcPr>
          <w:p w14:paraId="536F1103"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 xml:space="preserve">10 </w:t>
            </w:r>
            <w:r w:rsidRPr="00C73B65">
              <w:rPr>
                <w:rFonts w:ascii="Arial" w:eastAsia="SimSun" w:hAnsi="Arial" w:cs="Arial"/>
                <w:color w:val="000000"/>
              </w:rPr>
              <w:t>mg∙L</w:t>
            </w:r>
            <w:r w:rsidRPr="00C73B65">
              <w:rPr>
                <w:rFonts w:ascii="Arial" w:eastAsia="SimSun" w:hAnsi="Arial" w:cs="Arial"/>
                <w:color w:val="000000"/>
                <w:vertAlign w:val="superscript"/>
              </w:rPr>
              <w:t>-1</w:t>
            </w:r>
          </w:p>
        </w:tc>
        <w:tc>
          <w:tcPr>
            <w:tcW w:w="1509" w:type="dxa"/>
            <w:vAlign w:val="center"/>
          </w:tcPr>
          <w:p w14:paraId="66EC8132"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 xml:space="preserve">8,0 </w:t>
            </w:r>
            <w:r w:rsidRPr="00C73B65">
              <w:rPr>
                <w:rFonts w:ascii="Arial" w:eastAsia="SimSun" w:hAnsi="Arial" w:cs="Arial"/>
                <w:color w:val="000000"/>
              </w:rPr>
              <w:t>mg∙L</w:t>
            </w:r>
            <w:r w:rsidRPr="00C73B65">
              <w:rPr>
                <w:rFonts w:ascii="Arial" w:eastAsia="SimSun" w:hAnsi="Arial" w:cs="Arial"/>
                <w:color w:val="000000"/>
                <w:vertAlign w:val="superscript"/>
              </w:rPr>
              <w:t>-1</w:t>
            </w:r>
          </w:p>
        </w:tc>
        <w:tc>
          <w:tcPr>
            <w:tcW w:w="1861" w:type="dxa"/>
            <w:vAlign w:val="center"/>
          </w:tcPr>
          <w:p w14:paraId="1A254497" w14:textId="77777777" w:rsidR="00C73B65" w:rsidRPr="00C73B65" w:rsidRDefault="00C73B65" w:rsidP="00C73B65">
            <w:pPr>
              <w:spacing w:after="0" w:line="240" w:lineRule="auto"/>
              <w:ind w:left="0"/>
              <w:jc w:val="center"/>
              <w:rPr>
                <w:rFonts w:ascii="Arial" w:hAnsi="Arial" w:cs="Arial"/>
              </w:rPr>
            </w:pPr>
            <w:r w:rsidRPr="00C73B65">
              <w:rPr>
                <w:rFonts w:ascii="Arial" w:hAnsi="Arial" w:cs="Arial"/>
              </w:rPr>
              <w:t xml:space="preserve">4,0 </w:t>
            </w:r>
            <w:r w:rsidRPr="00C73B65">
              <w:rPr>
                <w:rFonts w:ascii="Arial" w:eastAsia="SimSun" w:hAnsi="Arial" w:cs="Arial"/>
                <w:color w:val="000000"/>
              </w:rPr>
              <w:t>mg∙L</w:t>
            </w:r>
            <w:r w:rsidRPr="00C73B65">
              <w:rPr>
                <w:rFonts w:ascii="Arial" w:eastAsia="SimSun" w:hAnsi="Arial" w:cs="Arial"/>
                <w:color w:val="000000"/>
                <w:vertAlign w:val="superscript"/>
              </w:rPr>
              <w:t>-1</w:t>
            </w:r>
          </w:p>
        </w:tc>
      </w:tr>
    </w:tbl>
    <w:p w14:paraId="542436CB" w14:textId="77777777" w:rsidR="00C73B65" w:rsidRPr="00C73B65" w:rsidRDefault="00C73B65" w:rsidP="00381E71">
      <w:pPr>
        <w:spacing w:after="0" w:line="276" w:lineRule="auto"/>
        <w:ind w:left="0"/>
        <w:jc w:val="both"/>
        <w:rPr>
          <w:rFonts w:eastAsiaTheme="minorHAnsi" w:cs="Arial"/>
          <w:lang w:eastAsia="en-US"/>
        </w:rPr>
      </w:pPr>
      <w:r w:rsidRPr="00C73B65">
        <w:rPr>
          <w:rFonts w:eastAsia="SimSun" w:cs="Arial"/>
          <w:color w:val="000000"/>
        </w:rPr>
        <w:t xml:space="preserve">On mesure l’absorbance de chaque solution à la longueur d’onde 630 nm où seul le bleu patenté V absorbe. Après modélisation, on obtient le graphique représentant l’absorbance </w:t>
      </w:r>
      <w:r w:rsidRPr="00C73B65">
        <w:rPr>
          <w:rFonts w:eastAsia="SimSun" w:cs="Arial"/>
          <w:i/>
          <w:iCs/>
          <w:color w:val="000000"/>
        </w:rPr>
        <w:t>A</w:t>
      </w:r>
      <w:r w:rsidRPr="00C73B65">
        <w:rPr>
          <w:rFonts w:eastAsia="SimSun" w:cs="Arial"/>
          <w:color w:val="000000"/>
        </w:rPr>
        <w:t xml:space="preserve"> en fonction de la concentration en masse </w:t>
      </w:r>
      <w:r w:rsidRPr="00C73B65">
        <w:rPr>
          <w:rFonts w:eastAsia="SimSun" w:cs="Arial"/>
          <w:i/>
          <w:iCs/>
          <w:color w:val="000000"/>
        </w:rPr>
        <w:t>C</w:t>
      </w:r>
      <w:r w:rsidRPr="00C73B65">
        <w:rPr>
          <w:rFonts w:eastAsia="SimSun" w:cs="Arial"/>
          <w:iCs/>
          <w:color w:val="000000"/>
        </w:rPr>
        <w:t>m</w:t>
      </w:r>
      <w:r w:rsidRPr="00C73B65">
        <w:rPr>
          <w:rFonts w:eastAsia="SimSun" w:cs="Arial"/>
          <w:color w:val="000000"/>
        </w:rPr>
        <w:t xml:space="preserve"> en mg∙L</w:t>
      </w:r>
      <w:r w:rsidRPr="00C73B65">
        <w:rPr>
          <w:rFonts w:eastAsia="SimSun" w:cs="Arial"/>
          <w:color w:val="000000"/>
          <w:vertAlign w:val="superscript"/>
        </w:rPr>
        <w:t>-1</w:t>
      </w:r>
      <w:r w:rsidRPr="00C73B65">
        <w:rPr>
          <w:rFonts w:eastAsia="SimSun" w:cs="Arial"/>
          <w:color w:val="000000"/>
        </w:rPr>
        <w:t> :</w:t>
      </w:r>
    </w:p>
    <w:p w14:paraId="0C56F845" w14:textId="77777777" w:rsidR="00C73B65" w:rsidRPr="00C73B65" w:rsidRDefault="00C73B65" w:rsidP="00C73B65">
      <w:pPr>
        <w:spacing w:after="0" w:line="264" w:lineRule="auto"/>
        <w:ind w:left="0"/>
        <w:contextualSpacing/>
        <w:jc w:val="center"/>
        <w:rPr>
          <w:rFonts w:cs="Arial"/>
          <w:lang w:eastAsia="en-US"/>
        </w:rPr>
      </w:pPr>
      <w:r w:rsidRPr="00C73B65">
        <w:rPr>
          <w:rFonts w:cs="Arial"/>
          <w:noProof/>
        </w:rPr>
        <w:drawing>
          <wp:inline distT="0" distB="0" distL="0" distR="0" wp14:anchorId="20D63564" wp14:editId="54CB0542">
            <wp:extent cx="5055476" cy="331769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 d’écran 2019-07-11 à 14.19.06.png"/>
                    <pic:cNvPicPr/>
                  </pic:nvPicPr>
                  <pic:blipFill>
                    <a:blip r:embed="rId18" cstate="print">
                      <a:grayscl/>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075616" cy="3330910"/>
                    </a:xfrm>
                    <a:prstGeom prst="rect">
                      <a:avLst/>
                    </a:prstGeom>
                  </pic:spPr>
                </pic:pic>
              </a:graphicData>
            </a:graphic>
          </wp:inline>
        </w:drawing>
      </w:r>
      <w:r w:rsidRPr="00C73B65">
        <w:rPr>
          <w:rFonts w:cs="Arial"/>
          <w:noProof/>
        </w:rPr>
        <w:drawing>
          <wp:anchor distT="0" distB="0" distL="114300" distR="114300" simplePos="0" relativeHeight="251659264" behindDoc="0" locked="0" layoutInCell="1" allowOverlap="1" wp14:anchorId="0B959D35" wp14:editId="05BCA0C5">
            <wp:simplePos x="0" y="0"/>
            <wp:positionH relativeFrom="column">
              <wp:posOffset>578923</wp:posOffset>
            </wp:positionH>
            <wp:positionV relativeFrom="paragraph">
              <wp:posOffset>636973</wp:posOffset>
            </wp:positionV>
            <wp:extent cx="360" cy="360"/>
            <wp:effectExtent l="0" t="0" r="0" b="0"/>
            <wp:wrapNone/>
            <wp:docPr id="9" name="Encre 29"/>
            <wp:cNvGraphicFramePr/>
            <a:graphic xmlns:a="http://schemas.openxmlformats.org/drawingml/2006/main">
              <a:graphicData uri="http://schemas.openxmlformats.org/drawingml/2006/picture">
                <pic:pic xmlns:pic="http://schemas.openxmlformats.org/drawingml/2006/picture">
                  <pic:nvPicPr>
                    <pic:cNvPr id="29" name="Encre 29"/>
                    <pic:cNvPicPr/>
                  </pic:nvPicPr>
                  <pic:blipFill>
                    <a:blip r:embed="rId20"/>
                    <a:stretch>
                      <a:fillRect/>
                    </a:stretch>
                  </pic:blipFill>
                  <pic:spPr>
                    <a:xfrm>
                      <a:off x="0" y="0"/>
                      <a:ext cx="9000" cy="54000"/>
                    </a:xfrm>
                    <a:prstGeom prst="rect">
                      <a:avLst/>
                    </a:prstGeom>
                  </pic:spPr>
                </pic:pic>
              </a:graphicData>
            </a:graphic>
          </wp:anchor>
        </w:drawing>
      </w:r>
    </w:p>
    <w:p w14:paraId="7F7F1F77" w14:textId="77777777" w:rsidR="00C73B65" w:rsidRPr="00C73B65" w:rsidRDefault="00C73B65" w:rsidP="00C73B65">
      <w:pPr>
        <w:spacing w:after="0" w:line="276" w:lineRule="auto"/>
        <w:ind w:left="0"/>
        <w:jc w:val="center"/>
        <w:rPr>
          <w:rFonts w:eastAsiaTheme="minorHAnsi" w:cs="Arial"/>
          <w:lang w:eastAsia="en-US"/>
        </w:rPr>
      </w:pPr>
      <w:r w:rsidRPr="00C73B65">
        <w:rPr>
          <w:rFonts w:eastAsiaTheme="minorHAnsi" w:cs="Arial"/>
          <w:lang w:eastAsia="en-US"/>
        </w:rPr>
        <w:t>Absorbance en fonction de la concentration en masse en bleu patenté V</w:t>
      </w:r>
    </w:p>
    <w:p w14:paraId="4AE72578" w14:textId="77777777" w:rsidR="00C73B65" w:rsidRPr="00C73B65" w:rsidRDefault="00C73B65" w:rsidP="00C73B65">
      <w:pPr>
        <w:spacing w:after="0" w:line="264" w:lineRule="auto"/>
        <w:ind w:left="0"/>
        <w:contextualSpacing/>
        <w:jc w:val="both"/>
        <w:rPr>
          <w:rFonts w:cs="Arial"/>
          <w:lang w:eastAsia="en-US"/>
        </w:rPr>
      </w:pPr>
    </w:p>
    <w:p w14:paraId="20955592" w14:textId="77777777" w:rsidR="00C73B65" w:rsidRPr="00C73B65" w:rsidRDefault="00C73B65" w:rsidP="00381E71">
      <w:pPr>
        <w:spacing w:after="0" w:line="276" w:lineRule="auto"/>
        <w:ind w:left="0"/>
        <w:jc w:val="both"/>
        <w:rPr>
          <w:rFonts w:eastAsiaTheme="minorHAnsi" w:cs="Arial"/>
          <w:lang w:eastAsia="en-US"/>
        </w:rPr>
      </w:pPr>
      <w:r w:rsidRPr="00C73B65">
        <w:rPr>
          <w:rFonts w:eastAsia="SimSun" w:cs="Arial"/>
          <w:color w:val="000000"/>
        </w:rPr>
        <w:t xml:space="preserve">Le fabricant de sirop conseille de diluer 7 fois le sirop (on ajoute de l’eau au sirop jusqu’à obtenir un volume 7 fois plus important que le volume du sirop pur) pour une dégustation optimale. La mesure de l’absorbance à 630 nm du sirop dilué 7 fois est égale à </w:t>
      </w:r>
      <w:r w:rsidRPr="00C73B65">
        <w:rPr>
          <w:rFonts w:eastAsia="SimSun" w:cs="Arial"/>
          <w:i/>
          <w:iCs/>
          <w:color w:val="000000"/>
        </w:rPr>
        <w:t>A</w:t>
      </w:r>
      <w:r w:rsidRPr="00C73B65">
        <w:rPr>
          <w:rFonts w:eastAsia="SimSun" w:cs="Arial"/>
          <w:color w:val="000000"/>
        </w:rPr>
        <w:t xml:space="preserve"> = 0,512. </w:t>
      </w:r>
    </w:p>
    <w:p w14:paraId="1C0087E0" w14:textId="77777777" w:rsidR="00C73B65" w:rsidRPr="00C73B65" w:rsidRDefault="00C73B65" w:rsidP="00C73B65">
      <w:pPr>
        <w:spacing w:after="0" w:line="264" w:lineRule="auto"/>
        <w:ind w:left="0"/>
        <w:contextualSpacing/>
        <w:jc w:val="both"/>
        <w:rPr>
          <w:rFonts w:cs="Arial"/>
          <w:lang w:eastAsia="en-US"/>
        </w:rPr>
      </w:pPr>
    </w:p>
    <w:p w14:paraId="5B695AF0" w14:textId="7BE44145" w:rsidR="00C73B65" w:rsidRPr="00C73B65" w:rsidRDefault="00C73B65" w:rsidP="00C73B65">
      <w:pPr>
        <w:pStyle w:val="Paragraphedeliste"/>
        <w:keepNext/>
        <w:keepLines/>
        <w:numPr>
          <w:ilvl w:val="1"/>
          <w:numId w:val="8"/>
        </w:numPr>
        <w:spacing w:after="0" w:line="264" w:lineRule="auto"/>
        <w:outlineLvl w:val="2"/>
        <w:rPr>
          <w:rFonts w:cs="Arial"/>
        </w:rPr>
      </w:pPr>
      <w:r w:rsidRPr="00C73B65">
        <w:rPr>
          <w:rFonts w:cs="Arial"/>
        </w:rPr>
        <w:t>En déduire la concentration en masse en bleu patenté V du sirop dilué.</w:t>
      </w:r>
    </w:p>
    <w:p w14:paraId="73D29CB9" w14:textId="77777777" w:rsidR="00C73B65" w:rsidRPr="00C73B65" w:rsidRDefault="00C73B65" w:rsidP="00C73B65">
      <w:pPr>
        <w:keepNext/>
        <w:keepLines/>
        <w:spacing w:after="0" w:line="264" w:lineRule="auto"/>
        <w:ind w:left="0"/>
        <w:outlineLvl w:val="2"/>
        <w:rPr>
          <w:rFonts w:cs="Arial"/>
        </w:rPr>
      </w:pPr>
    </w:p>
    <w:p w14:paraId="566A78F1" w14:textId="5C0CFEB5" w:rsidR="00C73B65" w:rsidRPr="00381E71" w:rsidRDefault="00C73B65" w:rsidP="00381E71">
      <w:pPr>
        <w:pStyle w:val="Paragraphedeliste"/>
        <w:keepNext/>
        <w:keepLines/>
        <w:numPr>
          <w:ilvl w:val="1"/>
          <w:numId w:val="8"/>
        </w:numPr>
        <w:spacing w:after="0" w:line="264" w:lineRule="auto"/>
        <w:jc w:val="both"/>
        <w:outlineLvl w:val="2"/>
        <w:rPr>
          <w:rFonts w:cs="Arial"/>
          <w:b/>
          <w:bCs/>
        </w:rPr>
      </w:pPr>
      <w:r w:rsidRPr="00C73B65">
        <w:rPr>
          <w:rFonts w:cs="Arial"/>
        </w:rPr>
        <w:t>Pour une personne de 60 kg, déterminer le volume maximal de sirop dilué qu’elle peut ingérer en suivant la recommandation de l’Autorité européenne de sécurité. Conclure.</w:t>
      </w:r>
    </w:p>
    <w:sectPr w:rsidR="00C73B65" w:rsidRPr="00381E71" w:rsidSect="00290A0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6755" w14:textId="77777777" w:rsidR="000C521C" w:rsidRDefault="000C521C" w:rsidP="0053612B">
      <w:pPr>
        <w:spacing w:after="0" w:line="240" w:lineRule="auto"/>
      </w:pPr>
      <w:r>
        <w:separator/>
      </w:r>
    </w:p>
  </w:endnote>
  <w:endnote w:type="continuationSeparator" w:id="0">
    <w:p w14:paraId="3810484C" w14:textId="77777777" w:rsidR="000C521C" w:rsidRDefault="000C521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6F44" w14:textId="77777777" w:rsidR="000C521C" w:rsidRDefault="000C521C" w:rsidP="0053612B">
      <w:pPr>
        <w:spacing w:after="0" w:line="240" w:lineRule="auto"/>
      </w:pPr>
      <w:r>
        <w:separator/>
      </w:r>
    </w:p>
  </w:footnote>
  <w:footnote w:type="continuationSeparator" w:id="0">
    <w:p w14:paraId="5A2784F3" w14:textId="77777777" w:rsidR="000C521C" w:rsidRDefault="000C521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26C"/>
    <w:multiLevelType w:val="hybridMultilevel"/>
    <w:tmpl w:val="DC100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52A27"/>
    <w:multiLevelType w:val="hybridMultilevel"/>
    <w:tmpl w:val="4A3078BC"/>
    <w:lvl w:ilvl="0" w:tplc="64CA2DFC">
      <w:start w:val="1"/>
      <w:numFmt w:val="decimal"/>
      <w:lvlText w:val="1.%1"/>
      <w:lvlJc w:val="left"/>
      <w:pPr>
        <w:ind w:left="1222" w:hanging="360"/>
      </w:pPr>
      <w:rPr>
        <w:rFonts w:hint="default"/>
        <w:b/>
        <w:bCs/>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15:restartNumberingAfterBreak="0">
    <w:nsid w:val="20EB12CD"/>
    <w:multiLevelType w:val="multilevel"/>
    <w:tmpl w:val="7298C1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4825166"/>
    <w:multiLevelType w:val="hybridMultilevel"/>
    <w:tmpl w:val="E10E6156"/>
    <w:lvl w:ilvl="0" w:tplc="CC2A12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B2C64"/>
    <w:multiLevelType w:val="hybridMultilevel"/>
    <w:tmpl w:val="B4A82042"/>
    <w:lvl w:ilvl="0" w:tplc="0C98A5E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2E65B3"/>
    <w:multiLevelType w:val="hybridMultilevel"/>
    <w:tmpl w:val="5B16CBC0"/>
    <w:lvl w:ilvl="0" w:tplc="27728F3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284183"/>
    <w:multiLevelType w:val="hybridMultilevel"/>
    <w:tmpl w:val="AEA8D07C"/>
    <w:lvl w:ilvl="0" w:tplc="CF5C84BE">
      <w:start w:val="1"/>
      <w:numFmt w:val="decimal"/>
      <w:lvlText w:val="2.%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C67C79"/>
    <w:multiLevelType w:val="hybridMultilevel"/>
    <w:tmpl w:val="837C8C12"/>
    <w:lvl w:ilvl="0" w:tplc="8572F6C4">
      <w:start w:val="1"/>
      <w:numFmt w:val="bullet"/>
      <w:lvlText w:val="-"/>
      <w:lvlJc w:val="left"/>
      <w:pPr>
        <w:ind w:left="720" w:hanging="360"/>
      </w:pPr>
      <w:rPr>
        <w:rFonts w:ascii="Helvetica" w:eastAsia="SimSu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521C"/>
    <w:rsid w:val="000C6554"/>
    <w:rsid w:val="000D402A"/>
    <w:rsid w:val="00103C42"/>
    <w:rsid w:val="00116AFA"/>
    <w:rsid w:val="00121498"/>
    <w:rsid w:val="00133B59"/>
    <w:rsid w:val="001424D6"/>
    <w:rsid w:val="001532D0"/>
    <w:rsid w:val="001718FD"/>
    <w:rsid w:val="001771F9"/>
    <w:rsid w:val="001A4E9D"/>
    <w:rsid w:val="00290A0E"/>
    <w:rsid w:val="002A68A6"/>
    <w:rsid w:val="002B20A9"/>
    <w:rsid w:val="002E4943"/>
    <w:rsid w:val="003408B3"/>
    <w:rsid w:val="00381E71"/>
    <w:rsid w:val="003D1776"/>
    <w:rsid w:val="004B41C6"/>
    <w:rsid w:val="004C6187"/>
    <w:rsid w:val="004F13CF"/>
    <w:rsid w:val="005122FA"/>
    <w:rsid w:val="0053612B"/>
    <w:rsid w:val="00571B73"/>
    <w:rsid w:val="00580042"/>
    <w:rsid w:val="005822C2"/>
    <w:rsid w:val="005F583D"/>
    <w:rsid w:val="00626E0F"/>
    <w:rsid w:val="00634187"/>
    <w:rsid w:val="00643D11"/>
    <w:rsid w:val="0067731A"/>
    <w:rsid w:val="00680041"/>
    <w:rsid w:val="006A2305"/>
    <w:rsid w:val="006B1682"/>
    <w:rsid w:val="006E390A"/>
    <w:rsid w:val="007110B0"/>
    <w:rsid w:val="007275B1"/>
    <w:rsid w:val="00744B77"/>
    <w:rsid w:val="0077193A"/>
    <w:rsid w:val="00772C44"/>
    <w:rsid w:val="007845EA"/>
    <w:rsid w:val="007A7764"/>
    <w:rsid w:val="007C35A8"/>
    <w:rsid w:val="00826640"/>
    <w:rsid w:val="00837873"/>
    <w:rsid w:val="0084040C"/>
    <w:rsid w:val="00857478"/>
    <w:rsid w:val="00860F2B"/>
    <w:rsid w:val="00870580"/>
    <w:rsid w:val="00875770"/>
    <w:rsid w:val="008877C7"/>
    <w:rsid w:val="0089178E"/>
    <w:rsid w:val="00893F38"/>
    <w:rsid w:val="008E5053"/>
    <w:rsid w:val="008F477F"/>
    <w:rsid w:val="008F72C8"/>
    <w:rsid w:val="00962C66"/>
    <w:rsid w:val="00977ADB"/>
    <w:rsid w:val="009D1A0F"/>
    <w:rsid w:val="009D7A17"/>
    <w:rsid w:val="009E0FEA"/>
    <w:rsid w:val="00A30FA0"/>
    <w:rsid w:val="00A61AC9"/>
    <w:rsid w:val="00A76AD3"/>
    <w:rsid w:val="00AA1A8D"/>
    <w:rsid w:val="00AB4BAE"/>
    <w:rsid w:val="00AD38CA"/>
    <w:rsid w:val="00AF5BC9"/>
    <w:rsid w:val="00B01E20"/>
    <w:rsid w:val="00B13C1A"/>
    <w:rsid w:val="00B2660B"/>
    <w:rsid w:val="00B61439"/>
    <w:rsid w:val="00B850C9"/>
    <w:rsid w:val="00B92318"/>
    <w:rsid w:val="00C17A52"/>
    <w:rsid w:val="00C27116"/>
    <w:rsid w:val="00C33076"/>
    <w:rsid w:val="00C44650"/>
    <w:rsid w:val="00C67037"/>
    <w:rsid w:val="00C73B65"/>
    <w:rsid w:val="00C8311A"/>
    <w:rsid w:val="00CA5A3D"/>
    <w:rsid w:val="00CA5D1C"/>
    <w:rsid w:val="00CA64DD"/>
    <w:rsid w:val="00CB5AF5"/>
    <w:rsid w:val="00CB6093"/>
    <w:rsid w:val="00CC0053"/>
    <w:rsid w:val="00D15825"/>
    <w:rsid w:val="00D545E4"/>
    <w:rsid w:val="00D760A4"/>
    <w:rsid w:val="00E32F53"/>
    <w:rsid w:val="00E51C64"/>
    <w:rsid w:val="00E5600F"/>
    <w:rsid w:val="00E63874"/>
    <w:rsid w:val="00EA0C7A"/>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paragraph" w:styleId="Titre4">
    <w:name w:val="heading 4"/>
    <w:basedOn w:val="Normal"/>
    <w:next w:val="Normal"/>
    <w:link w:val="Titre4Car"/>
    <w:uiPriority w:val="9"/>
    <w:semiHidden/>
    <w:unhideWhenUsed/>
    <w:qFormat/>
    <w:rsid w:val="00C73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customStyle="1" w:styleId="Titre4Car">
    <w:name w:val="Titre 4 Car"/>
    <w:basedOn w:val="Policepardfaut"/>
    <w:link w:val="Titre4"/>
    <w:uiPriority w:val="9"/>
    <w:semiHidden/>
    <w:rsid w:val="00C73B65"/>
    <w:rPr>
      <w:rFonts w:asciiTheme="majorHAnsi" w:eastAsiaTheme="majorEastAsia" w:hAnsiTheme="majorHAnsi" w:cstheme="majorBidi"/>
      <w:b/>
      <w:bCs/>
      <w:i/>
      <w:iCs/>
      <w:color w:val="4F81BD" w:themeColor="accent1"/>
      <w:sz w:val="24"/>
      <w:szCs w:val="24"/>
    </w:rPr>
  </w:style>
  <w:style w:type="table" w:customStyle="1" w:styleId="Grilledutableau1">
    <w:name w:val="Grille du tableau1"/>
    <w:basedOn w:val="TableauNormal"/>
    <w:next w:val="Grilledutableau"/>
    <w:uiPriority w:val="39"/>
    <w:rsid w:val="00C73B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39"/>
    <w:rsid w:val="00C73B6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3B65"/>
    <w:pPr>
      <w:ind w:left="720"/>
      <w:contextualSpacing/>
    </w:pPr>
  </w:style>
  <w:style w:type="character" w:styleId="Lienhypertexte">
    <w:name w:val="Hyperlink"/>
    <w:basedOn w:val="Policepardfaut"/>
    <w:uiPriority w:val="99"/>
    <w:unhideWhenUsed/>
    <w:rsid w:val="004C6187"/>
    <w:rPr>
      <w:color w:val="0000FF" w:themeColor="hyperlink"/>
      <w:u w:val="single"/>
    </w:rPr>
  </w:style>
  <w:style w:type="character" w:styleId="Mentionnonrsolue">
    <w:name w:val="Unresolved Mention"/>
    <w:basedOn w:val="Policepardfaut"/>
    <w:uiPriority w:val="99"/>
    <w:semiHidden/>
    <w:unhideWhenUsed/>
    <w:rsid w:val="004C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3.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efsa.europa.eu/fr/efsajournal/pub/2818"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B574-075C-4762-A69D-B0D6FFBC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2020-03-14T13:22:00Z</dcterms:created>
  <dcterms:modified xsi:type="dcterms:W3CDTF">2020-03-14T13:32:00Z</dcterms:modified>
</cp:coreProperties>
</file>