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pPr w:leftFromText="141" w:rightFromText="141" w:vertAnchor="text" w:horzAnchor="margin" w:tblpX="181" w:tblpY="122"/>
        <w:tblW w:w="10031" w:type="dxa"/>
        <w:tblLook w:val="04A0" w:firstRow="1" w:lastRow="0" w:firstColumn="1" w:lastColumn="0" w:noHBand="0" w:noVBand="1"/>
      </w:tblPr>
      <w:tblGrid>
        <w:gridCol w:w="10031"/>
      </w:tblGrid>
      <w:tr w:rsidR="0089178E" w14:paraId="4713D40A" w14:textId="77777777" w:rsidTr="00F81389">
        <w:tc>
          <w:tcPr>
            <w:tcW w:w="10031" w:type="dxa"/>
          </w:tcPr>
          <w:p w14:paraId="69F069B2" w14:textId="65EA1F06" w:rsidR="0089178E" w:rsidRDefault="0089178E" w:rsidP="00F81389">
            <w:pPr>
              <w:spacing w:line="240" w:lineRule="auto"/>
              <w:ind w:left="0"/>
              <w:jc w:val="center"/>
              <w:rPr>
                <w:rFonts w:eastAsia="Times New Roman"/>
                <w:b/>
                <w:color w:val="595959" w:themeColor="text1" w:themeTint="A6"/>
                <w:sz w:val="28"/>
                <w:szCs w:val="22"/>
              </w:rPr>
            </w:pPr>
            <w:r w:rsidRPr="00E51FB5">
              <w:rPr>
                <w:rFonts w:eastAsia="Times New Roman"/>
                <w:b/>
                <w:szCs w:val="22"/>
              </w:rPr>
              <w:t>ÉPREUVES COMMUNES DE CONTRÔLE CONTINU</w:t>
            </w:r>
            <w:r w:rsidR="00F81389">
              <w:rPr>
                <w:rFonts w:eastAsia="Times New Roman"/>
                <w:b/>
                <w:szCs w:val="22"/>
              </w:rPr>
              <w:t xml:space="preserve"> 2020</w:t>
            </w:r>
            <w:r w:rsidR="00F81389">
              <w:rPr>
                <w:rFonts w:eastAsia="Times New Roman"/>
                <w:b/>
                <w:szCs w:val="22"/>
              </w:rPr>
              <w:br/>
            </w:r>
            <w:hyperlink r:id="rId7" w:history="1">
              <w:r w:rsidR="00F81389" w:rsidRPr="00AC1EF3">
                <w:rPr>
                  <w:rStyle w:val="Lienhypertexte"/>
                  <w:rFonts w:eastAsia="Times New Roman"/>
                  <w:b/>
                  <w:szCs w:val="22"/>
                </w:rPr>
                <w:t>http://labolycee.org</w:t>
              </w:r>
            </w:hyperlink>
            <w:r w:rsidR="00F81389">
              <w:rPr>
                <w:rFonts w:eastAsia="Times New Roman"/>
                <w:b/>
                <w:color w:val="595959" w:themeColor="text1" w:themeTint="A6"/>
                <w:szCs w:val="22"/>
              </w:rPr>
              <w:t xml:space="preserve"> </w:t>
            </w:r>
          </w:p>
        </w:tc>
      </w:tr>
      <w:tr w:rsidR="0089178E" w14:paraId="129B2E26" w14:textId="77777777" w:rsidTr="00F81389">
        <w:tc>
          <w:tcPr>
            <w:tcW w:w="10031" w:type="dxa"/>
          </w:tcPr>
          <w:p w14:paraId="2EF13902" w14:textId="07C789AE" w:rsidR="0089178E" w:rsidRPr="00893F38" w:rsidRDefault="0089178E" w:rsidP="00F81389">
            <w:pPr>
              <w:spacing w:line="240" w:lineRule="auto"/>
              <w:ind w:left="0"/>
              <w:rPr>
                <w:rFonts w:eastAsia="Times New Roman"/>
                <w:b/>
                <w:color w:val="000000" w:themeColor="text1"/>
                <w:sz w:val="20"/>
                <w:szCs w:val="22"/>
              </w:rPr>
            </w:pPr>
            <w:r w:rsidRPr="00626E0F">
              <w:rPr>
                <w:rFonts w:eastAsia="Times New Roman"/>
                <w:b/>
                <w:color w:val="000000" w:themeColor="text1"/>
                <w:sz w:val="20"/>
                <w:szCs w:val="22"/>
              </w:rPr>
              <w:t>CLASSE :</w:t>
            </w:r>
            <w:r w:rsidRPr="00626E0F">
              <w:rPr>
                <w:rFonts w:eastAsia="Times New Roman"/>
                <w:color w:val="000000" w:themeColor="text1"/>
                <w:sz w:val="20"/>
                <w:szCs w:val="22"/>
              </w:rPr>
              <w:t xml:space="preserve"> Première</w:t>
            </w:r>
            <w:r w:rsidR="00F81389">
              <w:rPr>
                <w:rFonts w:eastAsia="Times New Roman"/>
                <w:color w:val="000000" w:themeColor="text1"/>
                <w:sz w:val="20"/>
                <w:szCs w:val="22"/>
              </w:rPr>
              <w:tab/>
            </w:r>
            <w:r w:rsidR="00F81389">
              <w:rPr>
                <w:rFonts w:eastAsia="Times New Roman"/>
                <w:color w:val="000000" w:themeColor="text1"/>
                <w:sz w:val="20"/>
                <w:szCs w:val="22"/>
              </w:rPr>
              <w:tab/>
            </w:r>
            <w:r w:rsidR="00F81389">
              <w:rPr>
                <w:rFonts w:eastAsia="Times New Roman"/>
                <w:color w:val="000000" w:themeColor="text1"/>
                <w:sz w:val="20"/>
                <w:szCs w:val="22"/>
              </w:rPr>
              <w:tab/>
            </w:r>
            <w:r w:rsidR="00F81389">
              <w:rPr>
                <w:rFonts w:eastAsia="Times New Roman"/>
                <w:color w:val="000000" w:themeColor="text1"/>
                <w:sz w:val="20"/>
                <w:szCs w:val="22"/>
              </w:rPr>
              <w:tab/>
            </w:r>
            <w:r w:rsidRPr="00893F38">
              <w:rPr>
                <w:rFonts w:eastAsia="Times New Roman"/>
                <w:b/>
                <w:color w:val="000000" w:themeColor="text1"/>
                <w:sz w:val="20"/>
                <w:szCs w:val="22"/>
              </w:rPr>
              <w:t>E3C</w:t>
            </w:r>
            <w:r>
              <w:rPr>
                <w:rFonts w:eastAsia="Times New Roman"/>
                <w:b/>
                <w:color w:val="000000" w:themeColor="text1"/>
                <w:sz w:val="20"/>
                <w:szCs w:val="22"/>
              </w:rPr>
              <w:t xml:space="preserve"> : </w:t>
            </w:r>
            <w:sdt>
              <w:sdtPr>
                <w:rPr>
                  <w:rFonts w:eastAsia="Times New Roman"/>
                  <w:color w:val="000000" w:themeColor="text1"/>
                  <w:sz w:val="20"/>
                  <w:szCs w:val="22"/>
                </w:rPr>
                <w:id w:val="199028399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w:t>
            </w:r>
            <w:r>
              <w:rPr>
                <w:rFonts w:eastAsia="Times New Roman"/>
                <w:color w:val="000000" w:themeColor="text1"/>
                <w:sz w:val="20"/>
                <w:szCs w:val="22"/>
              </w:rPr>
              <w:t>E3C1</w:t>
            </w:r>
            <w:r w:rsidRPr="00626E0F">
              <w:rPr>
                <w:rFonts w:eastAsia="Times New Roman"/>
                <w:color w:val="000000" w:themeColor="text1"/>
                <w:sz w:val="20"/>
                <w:szCs w:val="22"/>
              </w:rPr>
              <w:t xml:space="preserve"> </w:t>
            </w:r>
            <w:sdt>
              <w:sdtPr>
                <w:rPr>
                  <w:rFonts w:eastAsia="Times New Roman"/>
                  <w:color w:val="000000" w:themeColor="text1"/>
                  <w:sz w:val="20"/>
                  <w:szCs w:val="22"/>
                </w:rPr>
                <w:id w:val="1774132376"/>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 E3C2</w:t>
            </w:r>
            <w:r w:rsidRPr="00626E0F">
              <w:rPr>
                <w:rFonts w:eastAsia="Times New Roman"/>
                <w:color w:val="000000" w:themeColor="text1"/>
                <w:sz w:val="20"/>
                <w:szCs w:val="22"/>
              </w:rPr>
              <w:t xml:space="preserve"> </w:t>
            </w:r>
            <w:sdt>
              <w:sdtPr>
                <w:rPr>
                  <w:rFonts w:eastAsia="Times New Roman"/>
                  <w:color w:val="000000" w:themeColor="text1"/>
                  <w:sz w:val="20"/>
                  <w:szCs w:val="22"/>
                </w:rPr>
                <w:id w:val="125231135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w:t>
            </w:r>
            <w:r>
              <w:rPr>
                <w:rFonts w:eastAsia="Times New Roman"/>
                <w:color w:val="000000" w:themeColor="text1"/>
                <w:sz w:val="20"/>
                <w:szCs w:val="22"/>
              </w:rPr>
              <w:t>E3C3</w:t>
            </w:r>
          </w:p>
          <w:p w14:paraId="5BEB5CA4" w14:textId="5A507616" w:rsidR="0089178E" w:rsidRPr="00626E0F" w:rsidRDefault="0089178E" w:rsidP="00F81389">
            <w:pPr>
              <w:spacing w:line="240" w:lineRule="auto"/>
              <w:ind w:left="34"/>
              <w:rPr>
                <w:rFonts w:eastAsia="Times New Roman"/>
                <w:b/>
                <w:color w:val="000000" w:themeColor="text1"/>
                <w:sz w:val="20"/>
                <w:szCs w:val="22"/>
              </w:rPr>
            </w:pPr>
            <w:r w:rsidRPr="00626E0F">
              <w:rPr>
                <w:rFonts w:eastAsia="Times New Roman"/>
                <w:b/>
                <w:color w:val="000000" w:themeColor="text1"/>
                <w:sz w:val="20"/>
                <w:szCs w:val="22"/>
              </w:rPr>
              <w:t>VOIE :</w:t>
            </w:r>
            <w:r w:rsidRPr="00626E0F">
              <w:rPr>
                <w:rFonts w:eastAsia="Times New Roman"/>
                <w:color w:val="000000" w:themeColor="text1"/>
                <w:sz w:val="20"/>
                <w:szCs w:val="22"/>
              </w:rPr>
              <w:t xml:space="preserve"> </w:t>
            </w:r>
            <w:sdt>
              <w:sdtPr>
                <w:rPr>
                  <w:rFonts w:eastAsia="Times New Roman"/>
                  <w:color w:val="000000" w:themeColor="text1"/>
                  <w:sz w:val="20"/>
                  <w:szCs w:val="22"/>
                </w:rPr>
                <w:id w:val="1896242340"/>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Générale</w:t>
            </w:r>
            <w:r w:rsidR="00F81389">
              <w:rPr>
                <w:rFonts w:ascii="MS Gothic" w:eastAsia="MS Gothic" w:hAnsi="MS Gothic"/>
                <w:color w:val="000000" w:themeColor="text1"/>
                <w:sz w:val="20"/>
                <w:szCs w:val="22"/>
              </w:rPr>
              <w:tab/>
            </w:r>
            <w:r w:rsidR="00F81389">
              <w:rPr>
                <w:rFonts w:ascii="MS Gothic" w:eastAsia="MS Gothic" w:hAnsi="MS Gothic"/>
                <w:color w:val="000000" w:themeColor="text1"/>
                <w:sz w:val="20"/>
                <w:szCs w:val="22"/>
              </w:rPr>
              <w:tab/>
            </w:r>
            <w:r w:rsidR="00F81389">
              <w:rPr>
                <w:rFonts w:ascii="MS Gothic" w:eastAsia="MS Gothic" w:hAnsi="MS Gothic"/>
                <w:color w:val="000000" w:themeColor="text1"/>
                <w:sz w:val="20"/>
                <w:szCs w:val="22"/>
              </w:rPr>
              <w:tab/>
            </w:r>
            <w:r w:rsidR="00F81389">
              <w:rPr>
                <w:rFonts w:ascii="MS Gothic" w:eastAsia="MS Gothic" w:hAnsi="MS Gothic"/>
                <w:color w:val="000000" w:themeColor="text1"/>
                <w:sz w:val="20"/>
                <w:szCs w:val="22"/>
              </w:rPr>
              <w:tab/>
            </w:r>
            <w:r w:rsidRPr="00626E0F">
              <w:rPr>
                <w:rFonts w:eastAsia="Times New Roman"/>
                <w:b/>
                <w:color w:val="000000" w:themeColor="text1"/>
                <w:sz w:val="20"/>
                <w:szCs w:val="22"/>
              </w:rPr>
              <w:t>ENSEIGNEMENT :</w:t>
            </w:r>
            <w:r>
              <w:rPr>
                <w:rFonts w:eastAsia="Times New Roman"/>
                <w:b/>
                <w:color w:val="000000" w:themeColor="text1"/>
                <w:sz w:val="20"/>
                <w:szCs w:val="22"/>
              </w:rPr>
              <w:t xml:space="preserve"> physique-chimie</w:t>
            </w:r>
          </w:p>
          <w:p w14:paraId="1057C7DD" w14:textId="7B83A617" w:rsidR="0089178E" w:rsidRPr="00F81389" w:rsidRDefault="0089178E" w:rsidP="00F81389">
            <w:pPr>
              <w:spacing w:line="240" w:lineRule="auto"/>
              <w:ind w:left="0"/>
              <w:rPr>
                <w:rFonts w:eastAsia="Times New Roman"/>
                <w:b/>
                <w:color w:val="000000" w:themeColor="text1"/>
                <w:sz w:val="20"/>
                <w:szCs w:val="22"/>
              </w:rPr>
            </w:pPr>
            <w:r w:rsidRPr="00626E0F">
              <w:rPr>
                <w:rFonts w:eastAsia="Times New Roman"/>
                <w:b/>
                <w:color w:val="000000" w:themeColor="text1"/>
                <w:sz w:val="20"/>
                <w:szCs w:val="22"/>
              </w:rPr>
              <w:t>DURÉE DE L’ÉPREUVE :</w:t>
            </w:r>
            <w:r>
              <w:rPr>
                <w:rFonts w:eastAsia="Times New Roman"/>
                <w:color w:val="000000" w:themeColor="text1"/>
                <w:sz w:val="20"/>
                <w:szCs w:val="22"/>
              </w:rPr>
              <w:t xml:space="preserve"> 2 h</w:t>
            </w:r>
            <w:r w:rsidR="00F81389">
              <w:rPr>
                <w:rFonts w:eastAsia="Times New Roman"/>
                <w:color w:val="000000" w:themeColor="text1"/>
                <w:sz w:val="20"/>
                <w:szCs w:val="22"/>
              </w:rPr>
              <w:tab/>
            </w:r>
            <w:r w:rsidR="00F81389">
              <w:rPr>
                <w:rFonts w:eastAsia="Times New Roman"/>
                <w:color w:val="000000" w:themeColor="text1"/>
                <w:sz w:val="20"/>
                <w:szCs w:val="22"/>
              </w:rPr>
              <w:tab/>
            </w:r>
            <w:r w:rsidR="00F81389">
              <w:rPr>
                <w:rFonts w:eastAsia="Times New Roman"/>
                <w:color w:val="000000" w:themeColor="text1"/>
                <w:sz w:val="20"/>
                <w:szCs w:val="22"/>
              </w:rPr>
              <w:tab/>
            </w:r>
            <w:r>
              <w:rPr>
                <w:rFonts w:eastAsia="Times New Roman"/>
                <w:b/>
                <w:color w:val="000000" w:themeColor="text1"/>
                <w:sz w:val="20"/>
                <w:szCs w:val="22"/>
              </w:rPr>
              <w:t>CALCULATRICE AUTORIS</w:t>
            </w:r>
            <w:r>
              <w:rPr>
                <w:rFonts w:eastAsia="Times New Roman" w:cs="Arial"/>
                <w:b/>
                <w:color w:val="000000" w:themeColor="text1"/>
                <w:sz w:val="20"/>
                <w:szCs w:val="22"/>
              </w:rPr>
              <w:t xml:space="preserve">ÉE </w:t>
            </w:r>
            <w:r w:rsidRPr="00626E0F">
              <w:rPr>
                <w:rFonts w:eastAsia="Times New Roman"/>
                <w:b/>
                <w:color w:val="000000" w:themeColor="text1"/>
                <w:sz w:val="20"/>
                <w:szCs w:val="22"/>
              </w:rPr>
              <w:t>:</w:t>
            </w:r>
            <w:r>
              <w:rPr>
                <w:rFonts w:eastAsia="Times New Roman"/>
                <w:b/>
                <w:color w:val="000000" w:themeColor="text1"/>
                <w:sz w:val="20"/>
                <w:szCs w:val="22"/>
              </w:rPr>
              <w:t xml:space="preserve"> </w:t>
            </w:r>
            <w:sdt>
              <w:sdtPr>
                <w:rPr>
                  <w:rFonts w:eastAsia="Times New Roman"/>
                  <w:color w:val="000000" w:themeColor="text1"/>
                  <w:sz w:val="20"/>
                  <w:szCs w:val="22"/>
                </w:rPr>
                <w:id w:val="988758419"/>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Oui  </w:t>
            </w:r>
            <w:sdt>
              <w:sdtPr>
                <w:rPr>
                  <w:rFonts w:eastAsia="Times New Roman"/>
                  <w:color w:val="000000" w:themeColor="text1"/>
                  <w:sz w:val="20"/>
                  <w:szCs w:val="22"/>
                </w:rPr>
                <w:id w:val="-6319065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 Non</w:t>
            </w:r>
          </w:p>
        </w:tc>
      </w:tr>
    </w:tbl>
    <w:p w14:paraId="55E2D0A1" w14:textId="77777777" w:rsidR="00EC5C92" w:rsidRDefault="00EC5C92" w:rsidP="00EC5C92">
      <w:pPr>
        <w:spacing w:after="0" w:line="276" w:lineRule="auto"/>
        <w:ind w:left="0"/>
        <w:jc w:val="center"/>
        <w:rPr>
          <w:rFonts w:eastAsiaTheme="minorHAnsi" w:cs="Arial"/>
          <w:b/>
          <w:lang w:eastAsia="en-US"/>
        </w:rPr>
      </w:pPr>
    </w:p>
    <w:p w14:paraId="5573DA06" w14:textId="77777777" w:rsidR="00EC5C92" w:rsidRPr="00EC5C92" w:rsidRDefault="00EC5C92" w:rsidP="00EC5C92">
      <w:pPr>
        <w:spacing w:after="0" w:line="240" w:lineRule="auto"/>
        <w:ind w:left="0"/>
        <w:jc w:val="center"/>
        <w:rPr>
          <w:rFonts w:eastAsiaTheme="minorHAnsi" w:cs="Arial"/>
        </w:rPr>
      </w:pPr>
      <w:r w:rsidRPr="00EC5C92">
        <w:rPr>
          <w:rFonts w:eastAsiaTheme="minorHAnsi" w:cs="Arial"/>
          <w:b/>
        </w:rPr>
        <w:t>La pollution par le dioxyde de soufre (10 points)</w:t>
      </w:r>
    </w:p>
    <w:p w14:paraId="587FF145" w14:textId="77777777" w:rsidR="00EC5C92" w:rsidRPr="00EC5C92" w:rsidRDefault="00EC5C92" w:rsidP="00EC5C92">
      <w:pPr>
        <w:spacing w:after="0" w:line="240" w:lineRule="auto"/>
        <w:ind w:left="0"/>
        <w:rPr>
          <w:rFonts w:eastAsia="Times New Roman" w:cs="Arial"/>
          <w:color w:val="000000"/>
        </w:rPr>
      </w:pPr>
    </w:p>
    <w:p w14:paraId="3F57BCC8" w14:textId="77777777" w:rsidR="00EC5C92" w:rsidRPr="00EC5C92" w:rsidRDefault="00EC5C92" w:rsidP="00F81389">
      <w:pPr>
        <w:spacing w:after="0" w:line="240" w:lineRule="auto"/>
        <w:ind w:left="0"/>
        <w:jc w:val="both"/>
        <w:rPr>
          <w:rFonts w:eastAsia="Times New Roman" w:cs="Arial"/>
          <w:color w:val="000000"/>
        </w:rPr>
      </w:pPr>
      <w:r w:rsidRPr="00EC5C92">
        <w:rPr>
          <w:rFonts w:eastAsia="Times New Roman" w:cs="Arial"/>
          <w:color w:val="000000"/>
        </w:rPr>
        <w:t xml:space="preserve">Le dioxyde de soufre </w:t>
      </w:r>
      <w:r w:rsidRPr="00EC5C92">
        <w:rPr>
          <w:rFonts w:eastAsiaTheme="minorHAnsi" w:cs="Arial"/>
        </w:rPr>
        <w:t xml:space="preserve">est un gaz sans couleur et ininflammable dont l’odeur pénétrante irrite les yeux et les voies respiratoires. Le dioxyde de soufre provient principalement des combustions des combustibles fossiles (charbons, fiouls, </w:t>
      </w:r>
      <w:proofErr w:type="spellStart"/>
      <w:r w:rsidRPr="00EC5C92">
        <w:rPr>
          <w:rFonts w:eastAsiaTheme="minorHAnsi" w:cs="Arial"/>
        </w:rPr>
        <w:t>etc</w:t>
      </w:r>
      <w:proofErr w:type="spellEnd"/>
      <w:r w:rsidRPr="00EC5C92">
        <w:rPr>
          <w:rFonts w:eastAsiaTheme="minorHAnsi" w:cs="Arial"/>
        </w:rPr>
        <w:t>), au cours desquelles les impuretés soufrées contenues réagissent avec le dioxygène de l’air pour former le dioxyde de soufre SO</w:t>
      </w:r>
      <w:r w:rsidRPr="00EC5C92">
        <w:rPr>
          <w:rFonts w:eastAsiaTheme="minorHAnsi" w:cs="Arial"/>
          <w:vertAlign w:val="subscript"/>
        </w:rPr>
        <w:t>2(g)</w:t>
      </w:r>
      <w:r w:rsidRPr="00EC5C92">
        <w:rPr>
          <w:rFonts w:eastAsiaTheme="minorHAnsi" w:cs="Arial"/>
        </w:rPr>
        <w:t>.</w:t>
      </w:r>
      <w:r w:rsidRPr="00EC5C92">
        <w:rPr>
          <w:rFonts w:eastAsia="Times New Roman" w:cs="Arial"/>
          <w:color w:val="000000"/>
        </w:rPr>
        <w:t xml:space="preserve"> Ce polluant gazeux est rejeté dans l’atmosphère par de multiples petites sources (installations de chauffage domestique, véhicules à moteur </w:t>
      </w:r>
      <w:proofErr w:type="gramStart"/>
      <w:r w:rsidRPr="00EC5C92">
        <w:rPr>
          <w:rFonts w:eastAsia="Times New Roman" w:cs="Arial"/>
          <w:color w:val="000000"/>
        </w:rPr>
        <w:t>diesel,…</w:t>
      </w:r>
      <w:proofErr w:type="gramEnd"/>
      <w:r w:rsidRPr="00EC5C92">
        <w:rPr>
          <w:rFonts w:eastAsia="Times New Roman" w:cs="Arial"/>
          <w:color w:val="000000"/>
        </w:rPr>
        <w:t>) et par des sources ponctuelles plus importantes telles que les centrales thermiques qui constituent d’ailleurs la plus grande source de dioxyde de soufre, notamment par la combustion du charbon.</w:t>
      </w:r>
    </w:p>
    <w:p w14:paraId="23F220E5" w14:textId="77777777" w:rsidR="00EC5C92" w:rsidRPr="00EC5C92" w:rsidRDefault="00EC5C92" w:rsidP="00F81389">
      <w:pPr>
        <w:spacing w:after="0" w:line="240" w:lineRule="auto"/>
        <w:ind w:left="0"/>
        <w:jc w:val="both"/>
        <w:rPr>
          <w:rFonts w:eastAsia="Times New Roman" w:cs="Arial"/>
          <w:color w:val="000000"/>
        </w:rPr>
      </w:pPr>
      <w:r w:rsidRPr="00EC5C92">
        <w:rPr>
          <w:rFonts w:eastAsia="Times New Roman" w:cs="Arial"/>
          <w:color w:val="000000"/>
        </w:rPr>
        <w:t>Les concentrations de dioxyde de soufre ont fortement baissé ces dernières années au rythme d’environ 10 % par an depuis cinq ans, pour atteindre une valeur plancher de l’ordre de 5 µg.m</w:t>
      </w:r>
      <w:r w:rsidRPr="00EC5C92">
        <w:rPr>
          <w:rFonts w:eastAsia="Times New Roman" w:cs="Arial"/>
          <w:color w:val="000000"/>
          <w:vertAlign w:val="superscript"/>
        </w:rPr>
        <w:t>-3</w:t>
      </w:r>
      <w:r w:rsidRPr="00EC5C92">
        <w:rPr>
          <w:rFonts w:eastAsia="Times New Roman" w:cs="Arial"/>
          <w:color w:val="000000"/>
        </w:rPr>
        <w:t xml:space="preserve"> en moyenne annuelle pour l’ensemble des agglomérations. Cette évolution récente s’explique notamment par l’amélioration des combustibles et carburants.</w:t>
      </w:r>
    </w:p>
    <w:p w14:paraId="1AE4BBAC" w14:textId="77777777" w:rsidR="00EC5C92" w:rsidRPr="00EC5C92" w:rsidRDefault="00EC5C92" w:rsidP="00EC5C92">
      <w:pPr>
        <w:spacing w:after="0" w:line="240" w:lineRule="auto"/>
        <w:jc w:val="right"/>
        <w:rPr>
          <w:rFonts w:eastAsia="Times New Roman" w:cs="Arial"/>
          <w:i/>
          <w:color w:val="000000"/>
          <w:u w:val="single"/>
        </w:rPr>
      </w:pPr>
      <w:r w:rsidRPr="00EC5C92">
        <w:rPr>
          <w:rFonts w:eastAsia="Times New Roman" w:cs="Arial"/>
          <w:i/>
          <w:color w:val="00B0F0"/>
          <w:u w:val="single"/>
        </w:rPr>
        <w:t>D’après www.actu-environnement.com</w:t>
      </w:r>
    </w:p>
    <w:p w14:paraId="54007E17" w14:textId="77777777" w:rsidR="00EC5C92" w:rsidRPr="00EC5C92" w:rsidRDefault="00EC5C92" w:rsidP="00EC5C92">
      <w:pPr>
        <w:spacing w:after="0" w:line="240" w:lineRule="auto"/>
        <w:ind w:left="0"/>
        <w:rPr>
          <w:rFonts w:eastAsia="Times New Roman" w:cs="Arial"/>
          <w:color w:val="000000"/>
        </w:rPr>
      </w:pPr>
    </w:p>
    <w:p w14:paraId="31F21292" w14:textId="77777777" w:rsidR="00EC5C92" w:rsidRPr="00EC5C92" w:rsidRDefault="00EC5C92" w:rsidP="00EC5C92">
      <w:pPr>
        <w:spacing w:after="0" w:line="240" w:lineRule="auto"/>
        <w:ind w:left="0"/>
        <w:jc w:val="both"/>
        <w:rPr>
          <w:rFonts w:eastAsia="Times New Roman" w:cs="Arial"/>
          <w:color w:val="000000"/>
        </w:rPr>
      </w:pPr>
      <w:r w:rsidRPr="00EC5C92">
        <w:rPr>
          <w:rFonts w:eastAsia="Times New Roman" w:cs="Arial"/>
          <w:color w:val="000000"/>
        </w:rPr>
        <w:t xml:space="preserve">L’objectif de l’exercice est de comparer la teneur en soufre d’un fioul domestique datant de 1960 et d’un fioul domestique « nouvelle génération ». </w:t>
      </w:r>
    </w:p>
    <w:p w14:paraId="2EBF3931" w14:textId="77777777" w:rsidR="00EC5C92" w:rsidRPr="00EC5C92" w:rsidRDefault="00EC5C92" w:rsidP="00EC5C92">
      <w:pPr>
        <w:spacing w:after="0" w:line="240" w:lineRule="auto"/>
        <w:ind w:left="0"/>
        <w:jc w:val="both"/>
        <w:rPr>
          <w:rFonts w:eastAsia="Times New Roman" w:cs="Arial"/>
          <w:color w:val="000000"/>
        </w:rPr>
      </w:pPr>
    </w:p>
    <w:p w14:paraId="7901D195" w14:textId="77777777" w:rsidR="00EC5C92" w:rsidRPr="00EC5C92" w:rsidRDefault="00EC5C92" w:rsidP="00EC5C92">
      <w:pPr>
        <w:spacing w:after="0" w:line="240" w:lineRule="auto"/>
        <w:ind w:left="0"/>
        <w:jc w:val="both"/>
        <w:rPr>
          <w:rFonts w:eastAsia="Times New Roman" w:cs="Arial"/>
          <w:i/>
          <w:color w:val="000000"/>
        </w:rPr>
      </w:pPr>
      <w:r w:rsidRPr="00EC5C92">
        <w:rPr>
          <w:rFonts w:eastAsia="Times New Roman" w:cs="Arial"/>
          <w:color w:val="000000"/>
        </w:rPr>
        <w:t>La méthode européenne de référence utilisée pour la mesure de la quantité de matière de dioxyde de soufre gazeux est la fluorescence ultraviolette</w:t>
      </w:r>
      <w:r w:rsidRPr="00EC5C92">
        <w:rPr>
          <w:rFonts w:eastAsia="Times New Roman" w:cs="Arial"/>
          <w:i/>
          <w:color w:val="000000"/>
        </w:rPr>
        <w:t xml:space="preserve">. </w:t>
      </w:r>
    </w:p>
    <w:p w14:paraId="55D23797" w14:textId="77777777" w:rsidR="00EC5C92" w:rsidRPr="00EC5C92" w:rsidRDefault="00EC5C92" w:rsidP="00EC5C92">
      <w:pPr>
        <w:spacing w:after="0" w:line="240" w:lineRule="auto"/>
        <w:ind w:left="0"/>
        <w:jc w:val="both"/>
        <w:rPr>
          <w:rFonts w:eastAsia="Times New Roman" w:cs="Arial"/>
          <w:i/>
          <w:color w:val="000000"/>
        </w:rPr>
      </w:pPr>
    </w:p>
    <w:p w14:paraId="7CAB7C6F" w14:textId="77777777" w:rsidR="00EC5C92" w:rsidRPr="00EC5C92" w:rsidRDefault="00EC5C92" w:rsidP="00EC5C92">
      <w:pPr>
        <w:spacing w:after="0" w:line="240" w:lineRule="auto"/>
        <w:ind w:left="0"/>
        <w:jc w:val="both"/>
        <w:rPr>
          <w:rFonts w:eastAsia="Times New Roman" w:cs="Arial"/>
          <w:color w:val="000000"/>
        </w:rPr>
      </w:pPr>
      <w:r w:rsidRPr="00EC5C92">
        <w:rPr>
          <w:rFonts w:eastAsia="Times New Roman" w:cs="Arial"/>
          <w:i/>
          <w:color w:val="000000"/>
        </w:rPr>
        <w:t>O</w:t>
      </w:r>
      <w:r w:rsidRPr="00EC5C92">
        <w:rPr>
          <w:rFonts w:eastAsia="Times New Roman" w:cs="Arial"/>
          <w:color w:val="000000"/>
        </w:rPr>
        <w:t xml:space="preserve">n se propose de déterminer la quantité de matière de dioxyde de soufre produite lors de la combustion des deux fiouls par une méthode pouvant être mise en œuvre dans un laboratoire de lycée, un titrage ayant pour support une réaction d’oxydo-réduction. </w:t>
      </w:r>
    </w:p>
    <w:p w14:paraId="59D1B3B2" w14:textId="77777777" w:rsidR="00EC5C92" w:rsidRPr="00EC5C92" w:rsidRDefault="00EC5C92" w:rsidP="00EC5C92">
      <w:pPr>
        <w:spacing w:after="0" w:line="240" w:lineRule="auto"/>
        <w:ind w:left="0"/>
        <w:jc w:val="both"/>
        <w:rPr>
          <w:rFonts w:eastAsia="Times New Roman" w:cs="Arial"/>
          <w:color w:val="000000"/>
        </w:rPr>
      </w:pPr>
    </w:p>
    <w:p w14:paraId="5CE799CA" w14:textId="77777777" w:rsidR="00EC5C92" w:rsidRPr="00EC5C92" w:rsidRDefault="00EC5C92" w:rsidP="00EC5C92">
      <w:pPr>
        <w:spacing w:after="0" w:line="240" w:lineRule="auto"/>
        <w:ind w:left="0"/>
        <w:rPr>
          <w:rFonts w:eastAsiaTheme="minorHAnsi" w:cs="Arial"/>
          <w:b/>
        </w:rPr>
      </w:pPr>
      <w:r w:rsidRPr="00EC5C92">
        <w:rPr>
          <w:rFonts w:eastAsiaTheme="minorHAnsi" w:cs="Arial"/>
          <w:b/>
        </w:rPr>
        <w:t>Données </w:t>
      </w:r>
    </w:p>
    <w:p w14:paraId="3C03CA54" w14:textId="77777777" w:rsidR="00EC5C92" w:rsidRPr="00EC5C92" w:rsidRDefault="00EC5C92" w:rsidP="00EC5C92">
      <w:pPr>
        <w:numPr>
          <w:ilvl w:val="0"/>
          <w:numId w:val="7"/>
        </w:numPr>
        <w:spacing w:after="0" w:line="240" w:lineRule="auto"/>
        <w:ind w:left="284" w:hanging="284"/>
        <w:rPr>
          <w:rFonts w:eastAsia="Times New Roman" w:cs="Arial"/>
          <w:color w:val="000000"/>
        </w:rPr>
      </w:pPr>
      <w:r w:rsidRPr="00EC5C92">
        <w:rPr>
          <w:rFonts w:eastAsiaTheme="minorHAnsi" w:cs="Arial"/>
        </w:rPr>
        <w:t xml:space="preserve">Couples oxydant-réducteur mis en jeu :    </w:t>
      </w:r>
      <w:r w:rsidRPr="00EC5C92">
        <w:rPr>
          <w:rFonts w:eastAsia="Times New Roman" w:cs="Arial"/>
          <w:color w:val="000000"/>
          <w:position w:val="-14"/>
        </w:rPr>
        <w:object w:dxaOrig="900" w:dyaOrig="400" w14:anchorId="6ED405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19.5pt" o:ole="">
            <v:imagedata r:id="rId8" o:title=""/>
          </v:shape>
          <o:OLEObject Type="Embed" ProgID="Equation.KSEE3" ShapeID="_x0000_i1025" DrawAspect="Content" ObjectID="_1654086663" r:id="rId9"/>
        </w:object>
      </w:r>
      <w:r w:rsidRPr="00EC5C92">
        <w:rPr>
          <w:rFonts w:eastAsiaTheme="minorHAnsi" w:cs="Arial"/>
        </w:rPr>
        <w:t>/</w:t>
      </w:r>
      <w:r w:rsidRPr="00EC5C92">
        <w:rPr>
          <w:rFonts w:eastAsia="Times New Roman" w:cs="Arial"/>
          <w:color w:val="000000"/>
          <w:position w:val="-14"/>
        </w:rPr>
        <w:object w:dxaOrig="660" w:dyaOrig="400" w14:anchorId="56D1A672">
          <v:shape id="_x0000_i1026" type="#_x0000_t75" style="width:33.75pt;height:19.5pt" o:ole="">
            <v:imagedata r:id="rId10" o:title=""/>
          </v:shape>
          <o:OLEObject Type="Embed" ProgID="Equation.KSEE3" ShapeID="_x0000_i1026" DrawAspect="Content" ObjectID="_1654086664" r:id="rId11"/>
        </w:object>
      </w:r>
      <w:r w:rsidRPr="00EC5C92">
        <w:rPr>
          <w:rFonts w:eastAsiaTheme="minorHAnsi" w:cs="Arial"/>
        </w:rPr>
        <w:t xml:space="preserve">   </w:t>
      </w:r>
      <w:proofErr w:type="gramStart"/>
      <w:r w:rsidRPr="00EC5C92">
        <w:rPr>
          <w:rFonts w:eastAsiaTheme="minorHAnsi" w:cs="Arial"/>
        </w:rPr>
        <w:t xml:space="preserve">   ;</w:t>
      </w:r>
      <w:proofErr w:type="gramEnd"/>
      <w:r w:rsidRPr="00EC5C92">
        <w:rPr>
          <w:rFonts w:eastAsiaTheme="minorHAnsi" w:cs="Arial"/>
        </w:rPr>
        <w:t xml:space="preserve">        </w:t>
      </w:r>
      <w:r w:rsidRPr="00EC5C92">
        <w:rPr>
          <w:rFonts w:eastAsia="Times New Roman" w:cs="Arial"/>
          <w:color w:val="000000"/>
          <w:position w:val="-14"/>
        </w:rPr>
        <w:object w:dxaOrig="700" w:dyaOrig="400" w14:anchorId="43EB5993">
          <v:shape id="_x0000_i1027" type="#_x0000_t75" style="width:35.25pt;height:19.5pt" o:ole="">
            <v:imagedata r:id="rId12" o:title=""/>
          </v:shape>
          <o:OLEObject Type="Embed" ProgID="Equation.KSEE3" ShapeID="_x0000_i1027" DrawAspect="Content" ObjectID="_1654086665" r:id="rId13"/>
        </w:object>
      </w:r>
      <w:r w:rsidRPr="00EC5C92">
        <w:rPr>
          <w:rFonts w:eastAsiaTheme="minorHAnsi" w:cs="Arial"/>
        </w:rPr>
        <w:t>/</w:t>
      </w:r>
      <w:r w:rsidRPr="00EC5C92">
        <w:rPr>
          <w:rFonts w:eastAsia="Times New Roman" w:cs="Arial"/>
          <w:color w:val="000000"/>
          <w:position w:val="-14"/>
        </w:rPr>
        <w:object w:dxaOrig="700" w:dyaOrig="400" w14:anchorId="36D84767">
          <v:shape id="_x0000_i1028" type="#_x0000_t75" style="width:35.25pt;height:19.5pt" o:ole="">
            <v:imagedata r:id="rId14" o:title=""/>
          </v:shape>
          <o:OLEObject Type="Embed" ProgID="Equation.KSEE3" ShapeID="_x0000_i1028" DrawAspect="Content" ObjectID="_1654086666" r:id="rId15"/>
        </w:object>
      </w:r>
    </w:p>
    <w:p w14:paraId="7875BA3A" w14:textId="77777777" w:rsidR="00EC5C92" w:rsidRPr="00EC5C92" w:rsidRDefault="00EC5C92" w:rsidP="00F81389">
      <w:pPr>
        <w:numPr>
          <w:ilvl w:val="0"/>
          <w:numId w:val="7"/>
        </w:numPr>
        <w:spacing w:after="0" w:line="240" w:lineRule="auto"/>
        <w:ind w:left="284" w:hanging="284"/>
        <w:jc w:val="both"/>
        <w:rPr>
          <w:rFonts w:eastAsiaTheme="minorHAnsi" w:cs="Arial"/>
        </w:rPr>
      </w:pPr>
      <w:r w:rsidRPr="00EC5C92">
        <w:rPr>
          <w:rFonts w:eastAsia="Times New Roman" w:cs="Arial"/>
          <w:color w:val="000000"/>
        </w:rPr>
        <w:t xml:space="preserve">Dans le titrage, parmi les espèces présentes, seuls les ions permanganate </w:t>
      </w:r>
      <w:r w:rsidRPr="00EC5C92">
        <w:rPr>
          <w:rFonts w:eastAsia="Times New Roman" w:cs="Arial"/>
          <w:color w:val="000000"/>
          <w:position w:val="-14"/>
        </w:rPr>
        <w:object w:dxaOrig="900" w:dyaOrig="400" w14:anchorId="2237FC95">
          <v:shape id="_x0000_i1029" type="#_x0000_t75" style="width:45.75pt;height:19.5pt" o:ole="">
            <v:imagedata r:id="rId8" o:title=""/>
          </v:shape>
          <o:OLEObject Type="Embed" ProgID="Equation.KSEE3" ShapeID="_x0000_i1029" DrawAspect="Content" ObjectID="_1654086667" r:id="rId16"/>
        </w:object>
      </w:r>
      <w:r w:rsidRPr="00EC5C92">
        <w:rPr>
          <w:rFonts w:eastAsia="Times New Roman" w:cs="Arial"/>
          <w:color w:val="000000"/>
        </w:rPr>
        <w:t>confèrent à la solution aqueuse une couleur violette.</w:t>
      </w:r>
    </w:p>
    <w:p w14:paraId="5776285F" w14:textId="77777777" w:rsidR="00EC5C92" w:rsidRPr="00EC5C92" w:rsidRDefault="00EC5C92" w:rsidP="00EC5C92">
      <w:pPr>
        <w:spacing w:after="0" w:line="240" w:lineRule="auto"/>
        <w:ind w:left="0"/>
        <w:jc w:val="both"/>
        <w:rPr>
          <w:rFonts w:eastAsia="Times New Roman" w:cs="Arial"/>
          <w:color w:val="000000"/>
        </w:rPr>
      </w:pPr>
    </w:p>
    <w:p w14:paraId="6AF7B487" w14:textId="77777777" w:rsidR="00EC5C92" w:rsidRPr="00EC5C92" w:rsidRDefault="00EC5C92" w:rsidP="00F81389">
      <w:pPr>
        <w:spacing w:after="0" w:line="240" w:lineRule="auto"/>
        <w:ind w:left="0"/>
        <w:jc w:val="both"/>
        <w:rPr>
          <w:rFonts w:eastAsia="Times New Roman" w:cs="Arial"/>
          <w:color w:val="000000"/>
        </w:rPr>
      </w:pPr>
      <w:r w:rsidRPr="00EC5C92">
        <w:rPr>
          <w:rFonts w:eastAsia="Times New Roman" w:cs="Arial"/>
          <w:color w:val="000000"/>
        </w:rPr>
        <w:t>Soit S</w:t>
      </w:r>
      <w:r w:rsidRPr="00EC5C92">
        <w:rPr>
          <w:rFonts w:eastAsia="Times New Roman" w:cs="Arial"/>
          <w:color w:val="000000"/>
          <w:vertAlign w:val="subscript"/>
        </w:rPr>
        <w:t>1</w:t>
      </w:r>
      <w:r w:rsidRPr="00EC5C92">
        <w:rPr>
          <w:rFonts w:eastAsia="Times New Roman" w:cs="Arial"/>
          <w:color w:val="000000"/>
        </w:rPr>
        <w:t xml:space="preserve"> une solution aqueuse contenant une quantité de matière de dioxyde de soufre identique à celle utilisée pour la mesure, par la méthode européenne de référence, à la fin de la combustion totale du fioul « nouvelle génération ». </w:t>
      </w:r>
    </w:p>
    <w:p w14:paraId="3BD58E16" w14:textId="77777777" w:rsidR="00EC5C92" w:rsidRPr="00EC5C92" w:rsidRDefault="00EC5C92" w:rsidP="00EC5C92">
      <w:pPr>
        <w:spacing w:after="0" w:line="240" w:lineRule="auto"/>
        <w:ind w:left="0"/>
        <w:jc w:val="both"/>
        <w:rPr>
          <w:rFonts w:eastAsia="Times New Roman" w:cs="Arial"/>
          <w:color w:val="000000"/>
        </w:rPr>
      </w:pPr>
    </w:p>
    <w:p w14:paraId="0AB8C32E" w14:textId="20C49E72" w:rsidR="00EC5C92" w:rsidRPr="00EC5C92" w:rsidRDefault="00EC5C92" w:rsidP="00EC5C92">
      <w:pPr>
        <w:spacing w:after="0" w:line="240" w:lineRule="auto"/>
        <w:ind w:left="0"/>
        <w:jc w:val="both"/>
        <w:rPr>
          <w:rFonts w:eastAsia="Times New Roman" w:cs="Arial"/>
          <w:color w:val="000000"/>
        </w:rPr>
      </w:pPr>
      <w:r w:rsidRPr="00EC5C92">
        <w:rPr>
          <w:rFonts w:eastAsia="Times New Roman" w:cs="Arial"/>
          <w:color w:val="000000"/>
        </w:rPr>
        <w:t xml:space="preserve">On réalise le titrage d’un volume </w:t>
      </w:r>
      <w:bookmarkStart w:id="0" w:name="_Hlk43471314"/>
      <w:r w:rsidRPr="00EC5C92">
        <w:rPr>
          <w:rFonts w:eastAsia="Times New Roman" w:cs="Arial"/>
          <w:i/>
          <w:color w:val="000000"/>
        </w:rPr>
        <w:t>V</w:t>
      </w:r>
      <w:r w:rsidRPr="00EC5C92">
        <w:rPr>
          <w:rFonts w:eastAsia="Times New Roman" w:cs="Arial"/>
          <w:i/>
          <w:color w:val="000000"/>
          <w:vertAlign w:val="subscript"/>
        </w:rPr>
        <w:t>1</w:t>
      </w:r>
      <w:r w:rsidR="006C014C" w:rsidRPr="006C014C">
        <w:rPr>
          <w:rFonts w:eastAsia="Times New Roman" w:cs="Arial"/>
          <w:color w:val="000000"/>
        </w:rPr>
        <w:t xml:space="preserve"> </w:t>
      </w:r>
      <w:r w:rsidRPr="00EC5C92">
        <w:rPr>
          <w:rFonts w:eastAsia="Times New Roman" w:cs="Arial"/>
          <w:color w:val="000000"/>
        </w:rPr>
        <w:t xml:space="preserve">= 20,00 ± 0,02 </w:t>
      </w:r>
      <w:proofErr w:type="spellStart"/>
      <w:r w:rsidRPr="00EC5C92">
        <w:rPr>
          <w:rFonts w:eastAsia="Times New Roman" w:cs="Arial"/>
          <w:color w:val="000000"/>
        </w:rPr>
        <w:t>mL</w:t>
      </w:r>
      <w:bookmarkEnd w:id="0"/>
      <w:proofErr w:type="spellEnd"/>
      <w:r w:rsidRPr="00EC5C92">
        <w:rPr>
          <w:rFonts w:eastAsia="Times New Roman" w:cs="Arial"/>
          <w:color w:val="000000"/>
        </w:rPr>
        <w:t xml:space="preserve"> de solution S</w:t>
      </w:r>
      <w:r w:rsidRPr="00EC5C92">
        <w:rPr>
          <w:rFonts w:eastAsia="Times New Roman" w:cs="Arial"/>
          <w:color w:val="000000"/>
          <w:vertAlign w:val="subscript"/>
        </w:rPr>
        <w:t>1</w:t>
      </w:r>
      <w:r w:rsidRPr="00EC5C92">
        <w:rPr>
          <w:rFonts w:eastAsia="Times New Roman" w:cs="Arial"/>
          <w:color w:val="000000"/>
        </w:rPr>
        <w:t xml:space="preserve"> introduite dans un bécher par une solution aqueuse de permanganate de potassium </w:t>
      </w:r>
      <w:bookmarkStart w:id="1" w:name="_Hlk43471417"/>
      <w:r w:rsidRPr="00EC5C92">
        <w:rPr>
          <w:rFonts w:eastAsia="Times New Roman" w:cs="Arial"/>
          <w:color w:val="000000"/>
        </w:rPr>
        <w:t>(</w:t>
      </w:r>
      <w:r w:rsidRPr="00EC5C92">
        <w:rPr>
          <w:rFonts w:eastAsia="Times New Roman" w:cs="Arial"/>
          <w:i/>
          <w:color w:val="000000"/>
        </w:rPr>
        <w:t>K</w:t>
      </w:r>
      <w:r w:rsidRPr="00EC5C92">
        <w:rPr>
          <w:rFonts w:eastAsia="Times New Roman" w:cs="Arial"/>
          <w:i/>
          <w:color w:val="000000"/>
          <w:vertAlign w:val="superscript"/>
        </w:rPr>
        <w:t>+</w:t>
      </w:r>
      <w:r w:rsidRPr="00EC5C92">
        <w:rPr>
          <w:rFonts w:eastAsia="Times New Roman" w:cs="Arial"/>
          <w:i/>
          <w:color w:val="000000"/>
          <w:vertAlign w:val="subscript"/>
        </w:rPr>
        <w:t>(aq)</w:t>
      </w:r>
      <w:r w:rsidRPr="00EC5C92">
        <w:rPr>
          <w:rFonts w:eastAsia="Times New Roman" w:cs="Arial"/>
          <w:color w:val="000000"/>
        </w:rPr>
        <w:t> +</w:t>
      </w:r>
      <w:r w:rsidRPr="00EC5C92">
        <w:rPr>
          <w:rFonts w:eastAsia="Times New Roman" w:cs="Arial"/>
          <w:color w:val="000000"/>
          <w:position w:val="-10"/>
        </w:rPr>
        <w:object w:dxaOrig="680" w:dyaOrig="360" w14:anchorId="58E1A284">
          <v:shape id="_x0000_i1030" type="#_x0000_t75" style="width:33.75pt;height:18pt" o:ole="">
            <v:imagedata r:id="rId17" o:title=""/>
          </v:shape>
          <o:OLEObject Type="Embed" ProgID="Equation.KSEE3" ShapeID="_x0000_i1030" DrawAspect="Content" ObjectID="_1654086668" r:id="rId18"/>
        </w:object>
      </w:r>
      <w:r w:rsidRPr="00EC5C92">
        <w:rPr>
          <w:rFonts w:eastAsia="Times New Roman" w:cs="Arial"/>
          <w:color w:val="000000"/>
          <w:position w:val="-10"/>
          <w:vertAlign w:val="subscript"/>
        </w:rPr>
        <w:t>(aq)</w:t>
      </w:r>
      <w:r w:rsidRPr="00EC5C92">
        <w:rPr>
          <w:rFonts w:eastAsia="Times New Roman" w:cs="Arial"/>
          <w:color w:val="000000"/>
        </w:rPr>
        <w:t xml:space="preserve">) </w:t>
      </w:r>
      <w:bookmarkEnd w:id="1"/>
      <w:r w:rsidRPr="00EC5C92">
        <w:rPr>
          <w:rFonts w:eastAsia="Times New Roman" w:cs="Arial"/>
          <w:color w:val="000000"/>
        </w:rPr>
        <w:t xml:space="preserve">acidifiée dont la concentration en quantité de matière est </w:t>
      </w:r>
      <w:r w:rsidRPr="00EC5C92">
        <w:rPr>
          <w:rFonts w:eastAsia="Times New Roman" w:cs="Arial"/>
          <w:i/>
          <w:color w:val="000000"/>
        </w:rPr>
        <w:t>C</w:t>
      </w:r>
      <w:r w:rsidRPr="00EC5C92">
        <w:rPr>
          <w:rFonts w:eastAsia="Times New Roman" w:cs="Arial"/>
          <w:i/>
          <w:color w:val="000000"/>
          <w:vertAlign w:val="subscript"/>
        </w:rPr>
        <w:t>2</w:t>
      </w:r>
      <w:r w:rsidRPr="00EC5C92">
        <w:rPr>
          <w:rFonts w:eastAsia="Times New Roman" w:cs="Arial"/>
          <w:color w:val="000000"/>
        </w:rPr>
        <w:t xml:space="preserve"> = (7,50 ± 0,01) x 10</w:t>
      </w:r>
      <w:r w:rsidRPr="00EC5C92">
        <w:rPr>
          <w:rFonts w:eastAsia="Times New Roman" w:cs="Arial"/>
          <w:color w:val="000000"/>
          <w:vertAlign w:val="superscript"/>
        </w:rPr>
        <w:t>-3</w:t>
      </w:r>
      <w:r w:rsidRPr="00EC5C92">
        <w:rPr>
          <w:rFonts w:eastAsia="Times New Roman" w:cs="Arial"/>
          <w:color w:val="000000"/>
        </w:rPr>
        <w:t>mol.L</w:t>
      </w:r>
      <w:r w:rsidRPr="00EC5C92">
        <w:rPr>
          <w:rFonts w:eastAsia="Times New Roman" w:cs="Arial"/>
          <w:color w:val="000000"/>
          <w:vertAlign w:val="superscript"/>
        </w:rPr>
        <w:t>-1</w:t>
      </w:r>
      <w:r w:rsidRPr="00EC5C92">
        <w:rPr>
          <w:rFonts w:eastAsia="Times New Roman" w:cs="Arial"/>
          <w:color w:val="000000"/>
        </w:rPr>
        <w:t xml:space="preserve">. </w:t>
      </w:r>
    </w:p>
    <w:p w14:paraId="6D245F60" w14:textId="77777777" w:rsidR="00EC5C92" w:rsidRPr="00EC5C92" w:rsidRDefault="00EC5C92" w:rsidP="00EC5C92">
      <w:pPr>
        <w:spacing w:after="0" w:line="240" w:lineRule="auto"/>
        <w:ind w:left="0"/>
        <w:jc w:val="both"/>
        <w:rPr>
          <w:rFonts w:eastAsia="Times New Roman" w:cs="Arial"/>
          <w:color w:val="000000"/>
        </w:rPr>
      </w:pPr>
    </w:p>
    <w:p w14:paraId="276BD166" w14:textId="77777777" w:rsidR="00EC5C92" w:rsidRPr="00EC5C92" w:rsidRDefault="00EC5C92" w:rsidP="00EC5C92">
      <w:pPr>
        <w:spacing w:after="0" w:line="240" w:lineRule="auto"/>
        <w:ind w:left="0"/>
        <w:jc w:val="both"/>
        <w:rPr>
          <w:rFonts w:eastAsia="Times New Roman" w:cs="Arial"/>
          <w:color w:val="000000"/>
        </w:rPr>
      </w:pPr>
      <w:r w:rsidRPr="00EC5C92">
        <w:rPr>
          <w:rFonts w:eastAsia="Times New Roman" w:cs="Arial"/>
          <w:color w:val="000000"/>
        </w:rPr>
        <w:t xml:space="preserve">Lors du titrage, l’équivalence est obtenue pour un volume versé </w:t>
      </w:r>
      <w:r w:rsidRPr="00EC5C92">
        <w:rPr>
          <w:rFonts w:eastAsia="Times New Roman" w:cs="Arial"/>
          <w:i/>
          <w:color w:val="000000"/>
        </w:rPr>
        <w:t>V</w:t>
      </w:r>
      <w:r w:rsidRPr="00EC5C92">
        <w:rPr>
          <w:rFonts w:eastAsia="Times New Roman" w:cs="Arial"/>
          <w:i/>
          <w:color w:val="000000"/>
          <w:vertAlign w:val="subscript"/>
        </w:rPr>
        <w:t>E</w:t>
      </w:r>
      <w:r w:rsidRPr="00EC5C92">
        <w:rPr>
          <w:rFonts w:eastAsia="Times New Roman" w:cs="Arial"/>
          <w:color w:val="000000"/>
        </w:rPr>
        <w:t xml:space="preserve"> = 8,5 ± 0,4 mL de la solution aqueuse de permanganate de potassium.</w:t>
      </w:r>
    </w:p>
    <w:p w14:paraId="6E4D02B4" w14:textId="03BFA3D2" w:rsidR="00F81389" w:rsidRDefault="00F81389">
      <w:pPr>
        <w:spacing w:after="0" w:line="240" w:lineRule="auto"/>
        <w:ind w:left="0"/>
        <w:rPr>
          <w:rFonts w:eastAsia="Times New Roman" w:cs="Arial"/>
          <w:color w:val="000000"/>
        </w:rPr>
      </w:pPr>
      <w:r>
        <w:rPr>
          <w:rFonts w:eastAsia="Times New Roman" w:cs="Arial"/>
          <w:color w:val="000000"/>
        </w:rPr>
        <w:br w:type="page"/>
      </w:r>
    </w:p>
    <w:p w14:paraId="59844BEB" w14:textId="2B967B81" w:rsidR="00EC5C92" w:rsidRDefault="00EC5C92" w:rsidP="00EC5C92">
      <w:pPr>
        <w:numPr>
          <w:ilvl w:val="0"/>
          <w:numId w:val="6"/>
        </w:numPr>
        <w:spacing w:after="0" w:line="240" w:lineRule="auto"/>
        <w:ind w:left="284" w:hanging="284"/>
        <w:jc w:val="both"/>
        <w:rPr>
          <w:rFonts w:eastAsia="Times New Roman" w:cs="Arial"/>
          <w:color w:val="000000"/>
        </w:rPr>
      </w:pPr>
      <w:r w:rsidRPr="00EC5C92">
        <w:rPr>
          <w:rFonts w:eastAsia="Times New Roman" w:cs="Arial"/>
          <w:color w:val="000000"/>
        </w:rPr>
        <w:lastRenderedPageBreak/>
        <w:t xml:space="preserve">Une des impuretés soufrées dans le fioul, évoqué dans l’introduction, est le soufre. </w:t>
      </w:r>
      <w:r w:rsidR="00F81389" w:rsidRPr="00EC5C92">
        <w:rPr>
          <w:rFonts w:eastAsia="Times New Roman" w:cs="Arial"/>
          <w:color w:val="000000"/>
        </w:rPr>
        <w:t>Écrire</w:t>
      </w:r>
      <w:r w:rsidRPr="00EC5C92">
        <w:rPr>
          <w:rFonts w:eastAsia="Times New Roman" w:cs="Arial"/>
          <w:color w:val="000000"/>
        </w:rPr>
        <w:t xml:space="preserve"> l’équation de la réaction modélisant la combustion du soufre S</w:t>
      </w:r>
      <w:r w:rsidRPr="00EC5C92">
        <w:rPr>
          <w:rFonts w:eastAsia="Times New Roman" w:cs="Arial"/>
          <w:color w:val="000000"/>
          <w:vertAlign w:val="subscript"/>
        </w:rPr>
        <w:t>(s)</w:t>
      </w:r>
      <w:r w:rsidRPr="00EC5C92">
        <w:rPr>
          <w:rFonts w:eastAsia="Times New Roman" w:cs="Arial"/>
          <w:color w:val="000000"/>
        </w:rPr>
        <w:t>.</w:t>
      </w:r>
    </w:p>
    <w:p w14:paraId="470CDD67" w14:textId="77777777" w:rsidR="00BF384B" w:rsidRPr="00EC5C92" w:rsidRDefault="00BF384B" w:rsidP="00BF384B">
      <w:pPr>
        <w:spacing w:after="0" w:line="240" w:lineRule="auto"/>
        <w:ind w:left="284"/>
        <w:jc w:val="both"/>
        <w:rPr>
          <w:rFonts w:eastAsia="Times New Roman" w:cs="Arial"/>
          <w:color w:val="000000"/>
        </w:rPr>
      </w:pPr>
    </w:p>
    <w:p w14:paraId="072F5AB7" w14:textId="53969494" w:rsidR="00EC5C92" w:rsidRDefault="00EC5C92" w:rsidP="00EC5C92">
      <w:pPr>
        <w:numPr>
          <w:ilvl w:val="0"/>
          <w:numId w:val="6"/>
        </w:numPr>
        <w:spacing w:after="0" w:line="240" w:lineRule="auto"/>
        <w:ind w:left="284" w:hanging="284"/>
        <w:jc w:val="both"/>
        <w:rPr>
          <w:rFonts w:eastAsia="Times New Roman" w:cs="Arial"/>
          <w:color w:val="000000"/>
        </w:rPr>
      </w:pPr>
      <w:r w:rsidRPr="00EC5C92">
        <w:rPr>
          <w:rFonts w:eastAsia="Times New Roman" w:cs="Arial"/>
          <w:color w:val="000000"/>
        </w:rPr>
        <w:t>Réaliser et légender précisément le schéma du montage utilisé pour réaliser le titrage.</w:t>
      </w:r>
    </w:p>
    <w:p w14:paraId="52CEDBA3" w14:textId="77777777" w:rsidR="00BF384B" w:rsidRPr="00EC5C92" w:rsidRDefault="00BF384B" w:rsidP="00BF384B">
      <w:pPr>
        <w:spacing w:after="0" w:line="240" w:lineRule="auto"/>
        <w:ind w:left="0"/>
        <w:jc w:val="both"/>
        <w:rPr>
          <w:rFonts w:eastAsia="Times New Roman" w:cs="Arial"/>
          <w:color w:val="000000"/>
        </w:rPr>
      </w:pPr>
    </w:p>
    <w:p w14:paraId="3EB7D87A" w14:textId="6A05DAC6" w:rsidR="00EC5C92" w:rsidRPr="00EC5C92" w:rsidRDefault="00EC5C92" w:rsidP="00EC5C92">
      <w:pPr>
        <w:numPr>
          <w:ilvl w:val="0"/>
          <w:numId w:val="6"/>
        </w:numPr>
        <w:spacing w:after="0" w:line="240" w:lineRule="auto"/>
        <w:ind w:left="284" w:hanging="284"/>
        <w:jc w:val="both"/>
        <w:rPr>
          <w:rFonts w:eastAsia="Times New Roman" w:cs="Arial"/>
          <w:color w:val="000000"/>
        </w:rPr>
      </w:pPr>
      <w:bookmarkStart w:id="2" w:name="_Hlk43472409"/>
      <w:r>
        <w:rPr>
          <w:rFonts w:eastAsia="Times New Roman" w:cs="Arial"/>
          <w:color w:val="000000"/>
        </w:rPr>
        <w:t>É</w:t>
      </w:r>
      <w:r w:rsidRPr="00EC5C92">
        <w:rPr>
          <w:rFonts w:eastAsia="Times New Roman" w:cs="Arial"/>
          <w:color w:val="000000"/>
        </w:rPr>
        <w:t xml:space="preserve">tablir, à l’aide des données l’équation de la réaction d’oxydo-réduction support </w:t>
      </w:r>
      <w:proofErr w:type="gramStart"/>
      <w:r w:rsidRPr="00EC5C92">
        <w:rPr>
          <w:rFonts w:eastAsia="Times New Roman" w:cs="Arial"/>
          <w:color w:val="000000"/>
        </w:rPr>
        <w:t xml:space="preserve">du titrage </w:t>
      </w:r>
      <w:bookmarkEnd w:id="2"/>
      <w:r w:rsidRPr="00EC5C92">
        <w:rPr>
          <w:rFonts w:eastAsia="Times New Roman" w:cs="Arial"/>
          <w:color w:val="000000"/>
        </w:rPr>
        <w:t>écrite</w:t>
      </w:r>
      <w:proofErr w:type="gramEnd"/>
      <w:r w:rsidRPr="00EC5C92">
        <w:rPr>
          <w:rFonts w:eastAsia="Times New Roman" w:cs="Arial"/>
          <w:color w:val="000000"/>
        </w:rPr>
        <w:t xml:space="preserve"> ci-après</w:t>
      </w:r>
      <w:r w:rsidR="006C014C">
        <w:rPr>
          <w:rFonts w:eastAsia="Times New Roman" w:cs="Arial"/>
          <w:color w:val="000000"/>
        </w:rPr>
        <w:t> :</w:t>
      </w:r>
    </w:p>
    <w:p w14:paraId="32E343BA" w14:textId="4BB2C3C4" w:rsidR="00EC5C92" w:rsidRPr="00EC5C92" w:rsidRDefault="00EC5C92" w:rsidP="00EC5C92">
      <w:pPr>
        <w:spacing w:after="0" w:line="240" w:lineRule="auto"/>
        <w:ind w:left="284" w:hanging="284"/>
        <w:jc w:val="center"/>
        <w:rPr>
          <w:rFonts w:eastAsia="Times New Roman" w:cs="Arial"/>
          <w:color w:val="000000"/>
          <w:vertAlign w:val="subscript"/>
        </w:rPr>
      </w:pPr>
      <w:r w:rsidRPr="00EC5C92">
        <w:rPr>
          <w:rFonts w:eastAsiaTheme="minorHAnsi" w:cs="Arial"/>
          <w:lang w:eastAsia="en-US"/>
        </w:rPr>
        <w:t>2</w:t>
      </w:r>
      <w:r w:rsidRPr="00EC5C92">
        <w:rPr>
          <w:rFonts w:eastAsia="Times New Roman" w:cs="Arial"/>
          <w:color w:val="000000"/>
          <w:position w:val="-14"/>
        </w:rPr>
        <w:object w:dxaOrig="900" w:dyaOrig="400" w14:anchorId="6324793E">
          <v:shape id="_x0000_i1031" type="#_x0000_t75" style="width:46.5pt;height:19.5pt" o:ole="">
            <v:imagedata r:id="rId8" o:title=""/>
          </v:shape>
          <o:OLEObject Type="Embed" ProgID="Equation.KSEE3" ShapeID="_x0000_i1031" DrawAspect="Content" ObjectID="_1654086669" r:id="rId19"/>
        </w:object>
      </w:r>
      <w:r w:rsidRPr="00EC5C92">
        <w:rPr>
          <w:rFonts w:eastAsia="Times New Roman" w:cs="Arial"/>
          <w:color w:val="000000"/>
        </w:rPr>
        <w:t xml:space="preserve">+ 5 </w:t>
      </w:r>
      <w:r w:rsidRPr="00EC5C92">
        <w:rPr>
          <w:rFonts w:eastAsia="Times New Roman" w:cs="Arial"/>
          <w:color w:val="000000"/>
          <w:position w:val="-14"/>
        </w:rPr>
        <w:object w:dxaOrig="700" w:dyaOrig="400" w14:anchorId="094C30D2">
          <v:shape id="_x0000_i1032" type="#_x0000_t75" style="width:39pt;height:21.75pt" o:ole="">
            <v:imagedata r:id="rId14" o:title=""/>
          </v:shape>
          <o:OLEObject Type="Embed" ProgID="Equation.KSEE3" ShapeID="_x0000_i1032" DrawAspect="Content" ObjectID="_1654086670" r:id="rId20"/>
        </w:object>
      </w:r>
      <w:r w:rsidRPr="00EC5C92">
        <w:rPr>
          <w:rFonts w:eastAsia="Times New Roman" w:cs="Arial"/>
          <w:color w:val="000000"/>
        </w:rPr>
        <w:t>+ 2 H</w:t>
      </w:r>
      <w:r w:rsidRPr="00EC5C92">
        <w:rPr>
          <w:rFonts w:eastAsia="Times New Roman" w:cs="Arial"/>
          <w:color w:val="000000"/>
          <w:vertAlign w:val="subscript"/>
        </w:rPr>
        <w:t>2</w:t>
      </w:r>
      <w:r w:rsidRPr="00EC5C92">
        <w:rPr>
          <w:rFonts w:eastAsia="Times New Roman" w:cs="Arial"/>
          <w:color w:val="000000"/>
        </w:rPr>
        <w:t>O</w:t>
      </w:r>
      <w:r w:rsidRPr="00EC5C92">
        <w:rPr>
          <w:rFonts w:eastAsia="Times New Roman" w:cs="Arial"/>
          <w:color w:val="000000"/>
          <w:vertAlign w:val="subscript"/>
        </w:rPr>
        <w:t>(l)</w:t>
      </w:r>
      <w:r w:rsidRPr="00EC5C92">
        <w:rPr>
          <w:rFonts w:eastAsia="Times New Roman" w:cs="Arial"/>
          <w:color w:val="000000"/>
          <w:lang w:val="en-US"/>
        </w:rPr>
        <w:sym w:font="Wingdings" w:char="F0E0"/>
      </w:r>
      <w:r w:rsidRPr="00EC5C92">
        <w:rPr>
          <w:rFonts w:eastAsia="Times New Roman" w:cs="Arial"/>
          <w:color w:val="000000"/>
        </w:rPr>
        <w:t xml:space="preserve"> 2 </w:t>
      </w:r>
      <w:r w:rsidRPr="00EC5C92">
        <w:rPr>
          <w:rFonts w:eastAsia="Times New Roman" w:cs="Arial"/>
          <w:color w:val="000000"/>
          <w:position w:val="-14"/>
        </w:rPr>
        <w:object w:dxaOrig="660" w:dyaOrig="400" w14:anchorId="4AF98DFA">
          <v:shape id="_x0000_i1033" type="#_x0000_t75" style="width:35.25pt;height:21pt" o:ole="">
            <v:imagedata r:id="rId10" o:title=""/>
          </v:shape>
          <o:OLEObject Type="Embed" ProgID="Equation.KSEE3" ShapeID="_x0000_i1033" DrawAspect="Content" ObjectID="_1654086671" r:id="rId21"/>
        </w:object>
      </w:r>
      <w:r w:rsidRPr="00EC5C92">
        <w:rPr>
          <w:rFonts w:eastAsia="Times New Roman" w:cs="Arial"/>
          <w:color w:val="000000"/>
        </w:rPr>
        <w:t xml:space="preserve">+ 5 </w:t>
      </w:r>
      <w:r w:rsidRPr="00EC5C92">
        <w:rPr>
          <w:rFonts w:eastAsia="Times New Roman" w:cs="Arial"/>
          <w:color w:val="000000"/>
          <w:position w:val="-14"/>
        </w:rPr>
        <w:object w:dxaOrig="700" w:dyaOrig="400" w14:anchorId="62C897AB">
          <v:shape id="_x0000_i1034" type="#_x0000_t75" style="width:39pt;height:21pt" o:ole="">
            <v:imagedata r:id="rId12" o:title=""/>
          </v:shape>
          <o:OLEObject Type="Embed" ProgID="Equation.KSEE3" ShapeID="_x0000_i1034" DrawAspect="Content" ObjectID="_1654086672" r:id="rId22"/>
        </w:object>
      </w:r>
      <w:r w:rsidRPr="00EC5C92">
        <w:rPr>
          <w:rFonts w:eastAsia="Times New Roman" w:cs="Arial"/>
          <w:color w:val="000000"/>
        </w:rPr>
        <w:t>+ 4 H</w:t>
      </w:r>
      <w:r w:rsidRPr="00EC5C92">
        <w:rPr>
          <w:rFonts w:eastAsia="Times New Roman" w:cs="Arial"/>
          <w:color w:val="000000"/>
          <w:vertAlign w:val="superscript"/>
        </w:rPr>
        <w:t>+</w:t>
      </w:r>
      <w:r w:rsidRPr="00EC5C92">
        <w:rPr>
          <w:rFonts w:eastAsia="Times New Roman" w:cs="Arial"/>
          <w:color w:val="000000"/>
          <w:vertAlign w:val="subscript"/>
        </w:rPr>
        <w:t>(aq)</w:t>
      </w:r>
    </w:p>
    <w:p w14:paraId="59D45905" w14:textId="77777777" w:rsidR="00BF384B" w:rsidRDefault="00BF384B" w:rsidP="00BF384B">
      <w:pPr>
        <w:spacing w:after="0" w:line="240" w:lineRule="auto"/>
        <w:ind w:left="284"/>
        <w:rPr>
          <w:rFonts w:eastAsia="Times New Roman" w:cs="Arial"/>
          <w:color w:val="000000"/>
        </w:rPr>
      </w:pPr>
    </w:p>
    <w:p w14:paraId="3BA97BD2" w14:textId="4267EE35" w:rsidR="00EC5C92" w:rsidRDefault="00EC5C92" w:rsidP="00EC5C92">
      <w:pPr>
        <w:numPr>
          <w:ilvl w:val="0"/>
          <w:numId w:val="6"/>
        </w:numPr>
        <w:spacing w:after="0" w:line="240" w:lineRule="auto"/>
        <w:ind w:left="284" w:hanging="284"/>
        <w:rPr>
          <w:rFonts w:eastAsia="Times New Roman" w:cs="Arial"/>
          <w:color w:val="000000"/>
        </w:rPr>
      </w:pPr>
      <w:bookmarkStart w:id="3" w:name="_Hlk43472471"/>
      <w:r w:rsidRPr="00EC5C92">
        <w:rPr>
          <w:rFonts w:eastAsia="Times New Roman" w:cs="Arial"/>
          <w:color w:val="000000"/>
        </w:rPr>
        <w:t>Définir l’équivalence d’un titrage.</w:t>
      </w:r>
    </w:p>
    <w:bookmarkEnd w:id="3"/>
    <w:p w14:paraId="282A357B" w14:textId="77777777" w:rsidR="00BF384B" w:rsidRPr="00EC5C92" w:rsidRDefault="00BF384B" w:rsidP="00BF384B">
      <w:pPr>
        <w:spacing w:after="0" w:line="240" w:lineRule="auto"/>
        <w:ind w:left="284"/>
        <w:rPr>
          <w:rFonts w:eastAsia="Times New Roman" w:cs="Arial"/>
          <w:color w:val="000000"/>
        </w:rPr>
      </w:pPr>
    </w:p>
    <w:p w14:paraId="4AB3E69C" w14:textId="555643AA" w:rsidR="00EC5C92" w:rsidRDefault="00EC5C92" w:rsidP="00EC5C92">
      <w:pPr>
        <w:numPr>
          <w:ilvl w:val="0"/>
          <w:numId w:val="6"/>
        </w:numPr>
        <w:spacing w:after="0" w:line="240" w:lineRule="auto"/>
        <w:ind w:left="284" w:hanging="284"/>
        <w:jc w:val="both"/>
        <w:rPr>
          <w:rFonts w:eastAsia="Times New Roman" w:cs="Arial"/>
          <w:color w:val="000000"/>
        </w:rPr>
      </w:pPr>
      <w:bookmarkStart w:id="4" w:name="_Hlk43472501"/>
      <w:r w:rsidRPr="00EC5C92">
        <w:rPr>
          <w:rFonts w:eastAsia="Times New Roman" w:cs="Arial"/>
          <w:color w:val="000000"/>
        </w:rPr>
        <w:t>Décrire qualitativement comment évoluent, au cours du titrage, les quantités de matière des espèces chimiques présentes dans le bécher.</w:t>
      </w:r>
      <w:bookmarkEnd w:id="4"/>
    </w:p>
    <w:p w14:paraId="696EB1CA" w14:textId="77777777" w:rsidR="00BF384B" w:rsidRPr="00EC5C92" w:rsidRDefault="00BF384B" w:rsidP="00BF384B">
      <w:pPr>
        <w:spacing w:after="0" w:line="240" w:lineRule="auto"/>
        <w:ind w:left="0"/>
        <w:jc w:val="both"/>
        <w:rPr>
          <w:rFonts w:eastAsia="Times New Roman" w:cs="Arial"/>
          <w:color w:val="000000"/>
        </w:rPr>
      </w:pPr>
    </w:p>
    <w:p w14:paraId="698B9FEA" w14:textId="713A2981" w:rsidR="00EC5C92" w:rsidRDefault="00EC5C92" w:rsidP="00EC5C92">
      <w:pPr>
        <w:numPr>
          <w:ilvl w:val="0"/>
          <w:numId w:val="6"/>
        </w:numPr>
        <w:spacing w:after="0" w:line="240" w:lineRule="auto"/>
        <w:ind w:left="284" w:hanging="284"/>
        <w:jc w:val="both"/>
        <w:rPr>
          <w:rFonts w:eastAsia="Times New Roman" w:cs="Arial"/>
          <w:color w:val="000000"/>
        </w:rPr>
      </w:pPr>
      <w:bookmarkStart w:id="5" w:name="_Hlk43472576"/>
      <w:r w:rsidRPr="00EC5C92">
        <w:rPr>
          <w:rFonts w:eastAsia="Times New Roman" w:cs="Arial"/>
          <w:color w:val="000000"/>
        </w:rPr>
        <w:t>Indiquer comment s’effectue le repérage de l’équivalence, en précisant votre raisonnement.</w:t>
      </w:r>
    </w:p>
    <w:bookmarkEnd w:id="5"/>
    <w:p w14:paraId="5F572C0D" w14:textId="77777777" w:rsidR="00BF384B" w:rsidRPr="00EC5C92" w:rsidRDefault="00BF384B" w:rsidP="00BF384B">
      <w:pPr>
        <w:spacing w:after="0" w:line="240" w:lineRule="auto"/>
        <w:ind w:left="0"/>
        <w:jc w:val="both"/>
        <w:rPr>
          <w:rFonts w:eastAsia="Times New Roman" w:cs="Arial"/>
          <w:color w:val="000000"/>
        </w:rPr>
      </w:pPr>
    </w:p>
    <w:p w14:paraId="313F36DC" w14:textId="17831005" w:rsidR="00EC5C92" w:rsidRDefault="00EC5C92" w:rsidP="00EC5C92">
      <w:pPr>
        <w:numPr>
          <w:ilvl w:val="0"/>
          <w:numId w:val="6"/>
        </w:numPr>
        <w:spacing w:after="0" w:line="240" w:lineRule="auto"/>
        <w:ind w:left="284" w:hanging="284"/>
        <w:jc w:val="both"/>
        <w:rPr>
          <w:rFonts w:eastAsia="Times New Roman" w:cs="Arial"/>
          <w:color w:val="000000"/>
        </w:rPr>
      </w:pPr>
      <w:bookmarkStart w:id="6" w:name="_Hlk43472675"/>
      <w:r w:rsidRPr="00EC5C92">
        <w:rPr>
          <w:rFonts w:eastAsia="Times New Roman" w:cs="Arial"/>
          <w:color w:val="000000"/>
        </w:rPr>
        <w:t xml:space="preserve">On note </w:t>
      </w:r>
      <w:r w:rsidRPr="00EC5C92">
        <w:rPr>
          <w:rFonts w:eastAsia="Times New Roman" w:cs="Arial"/>
          <w:i/>
          <w:color w:val="000000"/>
        </w:rPr>
        <w:t>n</w:t>
      </w:r>
      <w:r w:rsidRPr="00EC5C92">
        <w:rPr>
          <w:rFonts w:eastAsia="Times New Roman" w:cs="Arial"/>
          <w:color w:val="000000"/>
          <w:vertAlign w:val="subscript"/>
        </w:rPr>
        <w:t>1</w:t>
      </w:r>
      <w:r w:rsidRPr="00EC5C92">
        <w:rPr>
          <w:rFonts w:eastAsia="Times New Roman" w:cs="Arial"/>
          <w:color w:val="000000"/>
        </w:rPr>
        <w:t>, la quantité de matière initiale de dioxyde de soufre et n</w:t>
      </w:r>
      <w:r w:rsidRPr="00EC5C92">
        <w:rPr>
          <w:rFonts w:eastAsia="Times New Roman" w:cs="Arial"/>
          <w:color w:val="000000"/>
          <w:vertAlign w:val="subscript"/>
        </w:rPr>
        <w:t>2</w:t>
      </w:r>
      <w:r w:rsidRPr="00EC5C92">
        <w:rPr>
          <w:rFonts w:eastAsia="Times New Roman" w:cs="Arial"/>
          <w:color w:val="000000"/>
        </w:rPr>
        <w:t>, la quantité de matière des ions permanganate versés pour atteindre l’équivalence. Donner la relation entre les quantités de matière de réactifs introduits à l’équivalence</w:t>
      </w:r>
      <w:r w:rsidR="00BF384B">
        <w:rPr>
          <w:rFonts w:eastAsia="Times New Roman" w:cs="Arial"/>
          <w:color w:val="000000"/>
        </w:rPr>
        <w:t>.</w:t>
      </w:r>
    </w:p>
    <w:p w14:paraId="1A0A3B94" w14:textId="77777777" w:rsidR="00BF384B" w:rsidRPr="00EC5C92" w:rsidRDefault="00BF384B" w:rsidP="00BF384B">
      <w:pPr>
        <w:spacing w:after="0" w:line="240" w:lineRule="auto"/>
        <w:ind w:left="0"/>
        <w:jc w:val="both"/>
        <w:rPr>
          <w:rFonts w:eastAsia="Times New Roman" w:cs="Arial"/>
          <w:color w:val="000000"/>
        </w:rPr>
      </w:pPr>
    </w:p>
    <w:p w14:paraId="61286D5D" w14:textId="77777777" w:rsidR="00EC5C92" w:rsidRPr="00EC5C92" w:rsidRDefault="00EC5C92" w:rsidP="00EC5C92">
      <w:pPr>
        <w:numPr>
          <w:ilvl w:val="0"/>
          <w:numId w:val="6"/>
        </w:numPr>
        <w:spacing w:after="0" w:line="240" w:lineRule="auto"/>
        <w:ind w:left="284" w:hanging="284"/>
        <w:jc w:val="both"/>
        <w:rPr>
          <w:rFonts w:eastAsia="Times New Roman" w:cs="Arial"/>
          <w:color w:val="000000"/>
        </w:rPr>
      </w:pPr>
      <w:bookmarkStart w:id="7" w:name="_Hlk43472822"/>
      <w:bookmarkEnd w:id="6"/>
      <w:r w:rsidRPr="00EC5C92">
        <w:rPr>
          <w:rFonts w:eastAsia="Times New Roman" w:cs="Arial"/>
          <w:color w:val="000000"/>
        </w:rPr>
        <w:t>L’incertitude-type sur la quantité de matière de dioxyde de soufre étant évaluée à une valeur de 8x10</w:t>
      </w:r>
      <w:r w:rsidRPr="00EC5C92">
        <w:rPr>
          <w:rFonts w:eastAsia="Times New Roman" w:cs="Arial"/>
          <w:color w:val="000000"/>
          <w:vertAlign w:val="superscript"/>
        </w:rPr>
        <w:t>-6</w:t>
      </w:r>
      <w:r w:rsidRPr="00EC5C92">
        <w:rPr>
          <w:rFonts w:eastAsia="Times New Roman" w:cs="Arial"/>
          <w:color w:val="000000"/>
        </w:rPr>
        <w:t xml:space="preserve"> mol lors de ce titrage, donner un encadrement à la valeur de la quantité de matière initiale de dioxyde de soufre dans la solution S</w:t>
      </w:r>
      <w:r w:rsidRPr="00EC5C92">
        <w:rPr>
          <w:rFonts w:eastAsia="Times New Roman" w:cs="Arial"/>
          <w:color w:val="000000"/>
          <w:vertAlign w:val="subscript"/>
        </w:rPr>
        <w:t>1</w:t>
      </w:r>
      <w:r w:rsidRPr="00EC5C92">
        <w:rPr>
          <w:rFonts w:eastAsia="Times New Roman" w:cs="Arial"/>
          <w:color w:val="000000"/>
        </w:rPr>
        <w:t>.</w:t>
      </w:r>
    </w:p>
    <w:bookmarkEnd w:id="7"/>
    <w:p w14:paraId="66F861A6" w14:textId="77777777" w:rsidR="00EC5C92" w:rsidRPr="00EC5C92" w:rsidRDefault="00EC5C92" w:rsidP="00EC5C92">
      <w:pPr>
        <w:spacing w:after="0" w:line="240" w:lineRule="auto"/>
        <w:ind w:left="0"/>
        <w:rPr>
          <w:rFonts w:eastAsia="Times New Roman" w:cs="Arial"/>
          <w:color w:val="000000"/>
        </w:rPr>
      </w:pPr>
    </w:p>
    <w:p w14:paraId="2B76BBEC" w14:textId="29322706" w:rsidR="00EC5C92" w:rsidRDefault="00EC5C92" w:rsidP="00EC5C92">
      <w:pPr>
        <w:numPr>
          <w:ilvl w:val="0"/>
          <w:numId w:val="6"/>
        </w:numPr>
        <w:spacing w:after="0" w:line="240" w:lineRule="auto"/>
        <w:ind w:left="284" w:hanging="284"/>
        <w:jc w:val="both"/>
        <w:rPr>
          <w:rFonts w:eastAsia="Times New Roman" w:cs="Arial"/>
          <w:color w:val="000000"/>
        </w:rPr>
      </w:pPr>
      <w:bookmarkStart w:id="8" w:name="_Hlk43473085"/>
      <w:r w:rsidRPr="00EC5C92">
        <w:rPr>
          <w:rFonts w:eastAsia="Times New Roman" w:cs="Arial"/>
          <w:color w:val="000000"/>
        </w:rPr>
        <w:t>La quantité de matière de dioxyde de soufre dans le fioul datant de 1960 est déterminée égale à 2,5 x 10</w:t>
      </w:r>
      <w:r w:rsidRPr="00EC5C92">
        <w:rPr>
          <w:rFonts w:eastAsia="Times New Roman" w:cs="Arial"/>
          <w:color w:val="000000"/>
          <w:vertAlign w:val="superscript"/>
        </w:rPr>
        <w:t>-2</w:t>
      </w:r>
      <w:r w:rsidRPr="00EC5C92">
        <w:rPr>
          <w:rFonts w:eastAsia="Times New Roman" w:cs="Arial"/>
          <w:color w:val="000000"/>
        </w:rPr>
        <w:t xml:space="preserve"> mol, ce qui correspond à une teneur en soufre de 0,8 %. Estimer la teneur en soufre du fioul « nouvelle génération ». Commenter.</w:t>
      </w:r>
      <w:bookmarkEnd w:id="8"/>
    </w:p>
    <w:p w14:paraId="040FDF2F" w14:textId="77777777" w:rsidR="00BF384B" w:rsidRPr="00EC5C92" w:rsidRDefault="00BF384B" w:rsidP="00BF384B">
      <w:pPr>
        <w:spacing w:after="0" w:line="240" w:lineRule="auto"/>
        <w:ind w:left="0"/>
        <w:jc w:val="both"/>
        <w:rPr>
          <w:rFonts w:eastAsia="Times New Roman" w:cs="Arial"/>
          <w:color w:val="000000"/>
        </w:rPr>
      </w:pPr>
    </w:p>
    <w:p w14:paraId="6EA04386" w14:textId="291C6A14" w:rsidR="00EC5C92" w:rsidRDefault="00EC5C92" w:rsidP="00EC5C92">
      <w:pPr>
        <w:numPr>
          <w:ilvl w:val="0"/>
          <w:numId w:val="6"/>
        </w:numPr>
        <w:tabs>
          <w:tab w:val="left" w:pos="0"/>
          <w:tab w:val="left" w:pos="284"/>
          <w:tab w:val="left" w:pos="426"/>
        </w:tabs>
        <w:spacing w:after="0" w:line="240" w:lineRule="auto"/>
        <w:ind w:left="284" w:hanging="284"/>
        <w:jc w:val="both"/>
        <w:rPr>
          <w:rFonts w:eastAsia="Times New Roman" w:cs="Arial"/>
          <w:color w:val="000000"/>
        </w:rPr>
      </w:pPr>
      <w:bookmarkStart w:id="9" w:name="_Hlk43473295"/>
      <w:r w:rsidRPr="00EC5C92">
        <w:rPr>
          <w:rFonts w:eastAsia="Times New Roman" w:cs="Arial"/>
          <w:color w:val="000000"/>
        </w:rPr>
        <w:t>Il est possible d’acheter du fioul domestique, notamment sur internet. Certains sites utilisent le terme de « fioul désoufré ». Justifier cette appellation.</w:t>
      </w:r>
    </w:p>
    <w:bookmarkEnd w:id="9"/>
    <w:p w14:paraId="421E3ABC" w14:textId="77777777" w:rsidR="00BF384B" w:rsidRPr="00EC5C92" w:rsidRDefault="00BF384B" w:rsidP="00BF384B">
      <w:pPr>
        <w:tabs>
          <w:tab w:val="left" w:pos="0"/>
          <w:tab w:val="left" w:pos="284"/>
          <w:tab w:val="left" w:pos="426"/>
        </w:tabs>
        <w:spacing w:after="0" w:line="240" w:lineRule="auto"/>
        <w:ind w:left="0"/>
        <w:jc w:val="both"/>
        <w:rPr>
          <w:rFonts w:eastAsia="Times New Roman" w:cs="Arial"/>
          <w:color w:val="000000"/>
        </w:rPr>
      </w:pPr>
    </w:p>
    <w:p w14:paraId="12F6BC67" w14:textId="3F8951AE" w:rsidR="00EC5C92" w:rsidRPr="00391635" w:rsidRDefault="00EC5C92" w:rsidP="00391635">
      <w:pPr>
        <w:numPr>
          <w:ilvl w:val="0"/>
          <w:numId w:val="6"/>
        </w:numPr>
        <w:tabs>
          <w:tab w:val="left" w:pos="0"/>
          <w:tab w:val="left" w:pos="284"/>
          <w:tab w:val="left" w:pos="426"/>
        </w:tabs>
        <w:spacing w:after="0" w:line="240" w:lineRule="auto"/>
        <w:ind w:left="284" w:hanging="284"/>
        <w:jc w:val="both"/>
        <w:rPr>
          <w:rFonts w:eastAsia="Times New Roman" w:cs="Arial"/>
          <w:color w:val="000000"/>
        </w:rPr>
      </w:pPr>
      <w:bookmarkStart w:id="10" w:name="_Hlk43473320"/>
      <w:r w:rsidRPr="00EC5C92">
        <w:rPr>
          <w:rFonts w:eastAsia="Times New Roman" w:cs="Arial"/>
          <w:color w:val="000000"/>
        </w:rPr>
        <w:t>La fermeture des centrales thermiques produisant de l’électricité permettra-t-il d’atteindre les objectifs écologiques qui sont de réduire de façon significative les émissions de gaz à effet de serre d’ici 2050 et autres polluants gazeux ? Justifier et proposer une alternative pour produire de l’électricité.</w:t>
      </w:r>
      <w:bookmarkEnd w:id="10"/>
    </w:p>
    <w:sectPr w:rsidR="00EC5C92" w:rsidRPr="00391635" w:rsidSect="00F81389">
      <w:headerReference w:type="even" r:id="rId23"/>
      <w:footerReference w:type="even" r:id="rId24"/>
      <w:pgSz w:w="11906" w:h="16838" w:code="9"/>
      <w:pgMar w:top="851" w:right="851" w:bottom="851" w:left="851" w:header="283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1B2D5F" w14:textId="77777777" w:rsidR="00006D18" w:rsidRDefault="00006D18" w:rsidP="0053612B">
      <w:pPr>
        <w:spacing w:after="0" w:line="240" w:lineRule="auto"/>
      </w:pPr>
      <w:r>
        <w:separator/>
      </w:r>
    </w:p>
  </w:endnote>
  <w:endnote w:type="continuationSeparator" w:id="0">
    <w:p w14:paraId="24D32C3C" w14:textId="77777777" w:rsidR="00006D18" w:rsidRDefault="00006D18" w:rsidP="00536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41B75" w14:textId="714A282A" w:rsidR="00AD38CA" w:rsidRPr="00626E0F" w:rsidRDefault="002B20A9" w:rsidP="00626E0F">
    <w:pPr>
      <w:pStyle w:val="Pieddepage"/>
      <w:tabs>
        <w:tab w:val="clear" w:pos="4536"/>
        <w:tab w:val="center" w:pos="2835"/>
      </w:tabs>
      <w:ind w:left="-567"/>
      <w:rPr>
        <w:rFonts w:ascii="Arial" w:hAnsi="Arial" w:cs="Arial"/>
        <w:color w:val="000000" w:themeColor="text1"/>
      </w:rPr>
    </w:pPr>
    <w:r w:rsidRPr="00626E0F">
      <w:rPr>
        <w:rFonts w:ascii="Arial" w:hAnsi="Arial" w:cs="Arial"/>
        <w:noProof/>
        <w:color w:val="000000" w:themeColor="text1"/>
      </w:rPr>
      <mc:AlternateContent>
        <mc:Choice Requires="wps">
          <w:drawing>
            <wp:anchor distT="0" distB="0" distL="114300" distR="114300" simplePos="0" relativeHeight="251655168" behindDoc="0" locked="0" layoutInCell="1" allowOverlap="1" wp14:anchorId="572DE657" wp14:editId="38F02F0F">
              <wp:simplePos x="0" y="0"/>
              <wp:positionH relativeFrom="page">
                <wp:posOffset>3960495</wp:posOffset>
              </wp:positionH>
              <wp:positionV relativeFrom="page">
                <wp:posOffset>10081260</wp:posOffset>
              </wp:positionV>
              <wp:extent cx="3312795" cy="431800"/>
              <wp:effectExtent l="7620" t="13335" r="13335" b="1206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795" cy="431800"/>
                      </a:xfrm>
                      <a:prstGeom prst="rect">
                        <a:avLst/>
                      </a:prstGeom>
                      <a:gradFill rotWithShape="1">
                        <a:gsLst>
                          <a:gs pos="0">
                            <a:srgbClr val="FFFFFF"/>
                          </a:gs>
                          <a:gs pos="100000">
                            <a:srgbClr val="FFFFFF">
                              <a:gamma/>
                              <a:tint val="0"/>
                              <a:invGamma/>
                            </a:srgbClr>
                          </a:gs>
                        </a:gsLst>
                        <a:lin ang="5400000" scaled="1"/>
                      </a:gradFill>
                      <a:ln w="3175">
                        <a:solidFill>
                          <a:srgbClr val="BFBFBF"/>
                        </a:solidFill>
                        <a:prstDash val="dash"/>
                        <a:miter lim="800000"/>
                        <a:headEnd/>
                        <a:tailEnd/>
                      </a:ln>
                    </wps:spPr>
                    <wps:txbx>
                      <w:txbxContent>
                        <w:p w14:paraId="403A9ACD" w14:textId="77777777" w:rsidR="00E51C64" w:rsidRPr="00AF5BC9" w:rsidRDefault="00E51C64" w:rsidP="00E51C64">
                          <w:pPr>
                            <w:ind w:left="0"/>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2DE657" id="_x0000_t202" coordsize="21600,21600" o:spt="202" path="m,l,21600r21600,l21600,xe">
              <v:stroke joinstyle="miter"/>
              <v:path gradientshapeok="t" o:connecttype="rect"/>
            </v:shapetype>
            <v:shape id="Zone de texte 2" o:spid="_x0000_s1026" type="#_x0000_t202" style="position:absolute;left:0;text-align:left;margin-left:311.85pt;margin-top:793.8pt;width:260.85pt;height:3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" strokecolor="#bfbfbf" strokeweight=".25pt">
              <v:fill rotate="t" focus="100%" type="gradient"/>
              <v:stroke dashstyle="dash"/>
              <v:textbox>
                <w:txbxContent>
                  <w:p w14:paraId="403A9ACD" w14:textId="77777777" w:rsidR="00E51C64" w:rsidRPr="00AF5BC9" w:rsidRDefault="00E51C64" w:rsidP="00E51C64">
                    <w:pPr>
                      <w:ind w:left="0"/>
                      <w:rPr>
                        <w:sz w:val="20"/>
                        <w:szCs w:val="20"/>
                      </w:rPr>
                    </w:pPr>
                  </w:p>
                </w:txbxContent>
              </v:textbox>
              <w10:wrap anchorx="page" anchory="page"/>
            </v:shape>
          </w:pict>
        </mc:Fallback>
      </mc:AlternateContent>
    </w:r>
    <w:r w:rsidR="008E5053" w:rsidRPr="00626E0F">
      <w:rPr>
        <w:rFonts w:ascii="Arial" w:hAnsi="Arial"/>
        <w:color w:val="000000" w:themeColor="text1"/>
        <w:sz w:val="20"/>
      </w:rPr>
      <w:t xml:space="preserve">Page </w:t>
    </w:r>
    <w:r w:rsidR="008E5053" w:rsidRPr="00626E0F">
      <w:rPr>
        <w:rFonts w:ascii="Arial" w:hAnsi="Arial"/>
        <w:color w:val="000000" w:themeColor="text1"/>
        <w:sz w:val="20"/>
      </w:rPr>
      <w:fldChar w:fldCharType="begin"/>
    </w:r>
    <w:r w:rsidR="008E5053" w:rsidRPr="00626E0F">
      <w:rPr>
        <w:rFonts w:ascii="Arial" w:hAnsi="Arial"/>
        <w:color w:val="000000" w:themeColor="text1"/>
        <w:sz w:val="20"/>
      </w:rPr>
      <w:instrText xml:space="preserve"> PAGE  \* MERGEFORMAT </w:instrText>
    </w:r>
    <w:r w:rsidR="008E5053" w:rsidRPr="00626E0F">
      <w:rPr>
        <w:rFonts w:ascii="Arial" w:hAnsi="Arial"/>
        <w:color w:val="000000" w:themeColor="text1"/>
        <w:sz w:val="20"/>
      </w:rPr>
      <w:fldChar w:fldCharType="separate"/>
    </w:r>
    <w:r w:rsidR="00071FFD" w:rsidRPr="00071FFD">
      <w:rPr>
        <w:noProof/>
        <w:color w:val="000000" w:themeColor="text1"/>
        <w:sz w:val="20"/>
      </w:rPr>
      <w:t>8</w:t>
    </w:r>
    <w:r w:rsidR="008E5053" w:rsidRPr="00626E0F">
      <w:rPr>
        <w:rFonts w:ascii="Arial" w:hAnsi="Arial"/>
        <w:color w:val="000000" w:themeColor="text1"/>
        <w:sz w:val="20"/>
      </w:rPr>
      <w:fldChar w:fldCharType="end"/>
    </w:r>
    <w:r w:rsidR="008E5053" w:rsidRPr="00626E0F">
      <w:rPr>
        <w:rFonts w:ascii="Arial" w:hAnsi="Arial"/>
        <w:color w:val="000000" w:themeColor="text1"/>
        <w:sz w:val="20"/>
      </w:rPr>
      <w:t xml:space="preserve"> / </w:t>
    </w:r>
    <w:r w:rsidR="008E5053" w:rsidRPr="00626E0F">
      <w:rPr>
        <w:rFonts w:ascii="Arial" w:hAnsi="Arial"/>
        <w:color w:val="000000" w:themeColor="text1"/>
        <w:sz w:val="20"/>
      </w:rPr>
      <w:fldChar w:fldCharType="begin"/>
    </w:r>
    <w:r w:rsidR="008E5053" w:rsidRPr="00626E0F">
      <w:rPr>
        <w:rFonts w:ascii="Arial" w:hAnsi="Arial"/>
        <w:color w:val="000000" w:themeColor="text1"/>
        <w:sz w:val="20"/>
      </w:rPr>
      <w:instrText xml:space="preserve"> NUMPAGES  \* MERGEFORMAT </w:instrText>
    </w:r>
    <w:r w:rsidR="008E5053" w:rsidRPr="00626E0F">
      <w:rPr>
        <w:rFonts w:ascii="Arial" w:hAnsi="Arial"/>
        <w:color w:val="000000" w:themeColor="text1"/>
        <w:sz w:val="20"/>
      </w:rPr>
      <w:fldChar w:fldCharType="separate"/>
    </w:r>
    <w:r w:rsidR="00071FFD" w:rsidRPr="00071FFD">
      <w:rPr>
        <w:noProof/>
        <w:color w:val="000000" w:themeColor="text1"/>
        <w:sz w:val="20"/>
      </w:rPr>
      <w:t>8</w:t>
    </w:r>
    <w:r w:rsidR="008E5053" w:rsidRPr="00626E0F">
      <w:rPr>
        <w:rFonts w:ascii="Arial" w:hAnsi="Arial"/>
        <w:color w:val="000000" w:themeColor="text1"/>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44C3BD" w14:textId="77777777" w:rsidR="00006D18" w:rsidRDefault="00006D18" w:rsidP="0053612B">
      <w:pPr>
        <w:spacing w:after="0" w:line="240" w:lineRule="auto"/>
      </w:pPr>
      <w:r>
        <w:separator/>
      </w:r>
    </w:p>
  </w:footnote>
  <w:footnote w:type="continuationSeparator" w:id="0">
    <w:p w14:paraId="0159A028" w14:textId="77777777" w:rsidR="00006D18" w:rsidRDefault="00006D18" w:rsidP="005361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BDA62" w14:textId="77777777" w:rsidR="0053612B" w:rsidRDefault="002B20A9" w:rsidP="0077193A">
    <w:pPr>
      <w:pStyle w:val="EnTetePiedsDePage"/>
      <w:jc w:val="center"/>
    </w:pPr>
    <w:r>
      <w:rPr>
        <w:noProof/>
      </w:rPr>
      <w:drawing>
        <wp:anchor distT="0" distB="0" distL="114300" distR="114300" simplePos="0" relativeHeight="251656192" behindDoc="0" locked="0" layoutInCell="1" allowOverlap="1" wp14:anchorId="28985DD1" wp14:editId="7853DE49">
          <wp:simplePos x="0" y="0"/>
          <wp:positionH relativeFrom="page">
            <wp:posOffset>360045</wp:posOffset>
          </wp:positionH>
          <wp:positionV relativeFrom="page">
            <wp:posOffset>360045</wp:posOffset>
          </wp:positionV>
          <wp:extent cx="6840220" cy="1546860"/>
          <wp:effectExtent l="0" t="0" r="0" b="0"/>
          <wp:wrapNone/>
          <wp:docPr id="76"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7"/>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0220" cy="1546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D5D452" w14:textId="77777777" w:rsidR="00D760A4" w:rsidRDefault="00D760A4" w:rsidP="00B01E2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433CC"/>
    <w:multiLevelType w:val="multilevel"/>
    <w:tmpl w:val="6FB02480"/>
    <w:lvl w:ilvl="0">
      <w:start w:val="3"/>
      <w:numFmt w:val="decimal"/>
      <w:lvlText w:val="%1."/>
      <w:lvlJc w:val="left"/>
      <w:pPr>
        <w:ind w:left="400" w:hanging="40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07A7F94"/>
    <w:multiLevelType w:val="hybridMultilevel"/>
    <w:tmpl w:val="92729756"/>
    <w:lvl w:ilvl="0" w:tplc="32EA9DB4">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8985A48"/>
    <w:multiLevelType w:val="hybridMultilevel"/>
    <w:tmpl w:val="CDB89040"/>
    <w:lvl w:ilvl="0" w:tplc="2D102780">
      <w:start w:val="7"/>
      <w:numFmt w:val="bullet"/>
      <w:lvlText w:val="-"/>
      <w:lvlJc w:val="left"/>
      <w:pPr>
        <w:ind w:left="720" w:hanging="360"/>
      </w:pPr>
      <w:rPr>
        <w:rFonts w:ascii="Arial" w:eastAsiaTheme="minorHAnsi" w:hAnsi="Arial"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B7A66A1"/>
    <w:multiLevelType w:val="multilevel"/>
    <w:tmpl w:val="C1EAA788"/>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6BC354BB"/>
    <w:multiLevelType w:val="hybridMultilevel"/>
    <w:tmpl w:val="CCC63F9C"/>
    <w:lvl w:ilvl="0" w:tplc="C0A03E0A">
      <w:start w:val="1"/>
      <w:numFmt w:val="decimal"/>
      <w:lvlText w:val="2.%1."/>
      <w:lvlJc w:val="left"/>
      <w:pPr>
        <w:ind w:left="360" w:hanging="360"/>
      </w:pPr>
      <w:rPr>
        <w:rFonts w:hint="default"/>
        <w:b/>
        <w:color w:val="auto"/>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6BCC42D2"/>
    <w:multiLevelType w:val="multilevel"/>
    <w:tmpl w:val="C944BBA2"/>
    <w:lvl w:ilvl="0">
      <w:start w:val="1"/>
      <w:numFmt w:val="decimal"/>
      <w:lvlText w:val="%1."/>
      <w:lvlJc w:val="left"/>
      <w:pPr>
        <w:ind w:left="720" w:hanging="360"/>
      </w:pPr>
      <w:rPr>
        <w:rFonts w:hint="default"/>
        <w:b/>
      </w:rPr>
    </w:lvl>
    <w:lvl w:ilvl="1">
      <w:start w:val="1"/>
      <w:numFmt w:val="decimal"/>
      <w:isLgl/>
      <w:lvlText w:val="%1.%2."/>
      <w:lvlJc w:val="left"/>
      <w:pPr>
        <w:ind w:left="2208" w:hanging="1140"/>
      </w:pPr>
      <w:rPr>
        <w:rFonts w:hint="default"/>
        <w:b/>
      </w:rPr>
    </w:lvl>
    <w:lvl w:ilvl="2">
      <w:start w:val="1"/>
      <w:numFmt w:val="decimal"/>
      <w:isLgl/>
      <w:lvlText w:val="%1.%2.%3."/>
      <w:lvlJc w:val="left"/>
      <w:pPr>
        <w:ind w:left="2916" w:hanging="1140"/>
      </w:pPr>
      <w:rPr>
        <w:rFonts w:hint="default"/>
        <w:b/>
      </w:rPr>
    </w:lvl>
    <w:lvl w:ilvl="3">
      <w:start w:val="1"/>
      <w:numFmt w:val="decimal"/>
      <w:isLgl/>
      <w:lvlText w:val="%1.%2.%3.%4."/>
      <w:lvlJc w:val="left"/>
      <w:pPr>
        <w:ind w:left="3624" w:hanging="1140"/>
      </w:pPr>
      <w:rPr>
        <w:rFonts w:hint="default"/>
        <w:b/>
      </w:rPr>
    </w:lvl>
    <w:lvl w:ilvl="4">
      <w:start w:val="1"/>
      <w:numFmt w:val="decimal"/>
      <w:isLgl/>
      <w:lvlText w:val="%1.%2.%3.%4.%5."/>
      <w:lvlJc w:val="left"/>
      <w:pPr>
        <w:ind w:left="4332" w:hanging="1140"/>
      </w:pPr>
      <w:rPr>
        <w:rFonts w:hint="default"/>
        <w:b/>
      </w:rPr>
    </w:lvl>
    <w:lvl w:ilvl="5">
      <w:start w:val="1"/>
      <w:numFmt w:val="decimal"/>
      <w:isLgl/>
      <w:lvlText w:val="%1.%2.%3.%4.%5.%6."/>
      <w:lvlJc w:val="left"/>
      <w:pPr>
        <w:ind w:left="5340" w:hanging="1440"/>
      </w:pPr>
      <w:rPr>
        <w:rFonts w:hint="default"/>
        <w:b/>
      </w:rPr>
    </w:lvl>
    <w:lvl w:ilvl="6">
      <w:start w:val="1"/>
      <w:numFmt w:val="decimal"/>
      <w:isLgl/>
      <w:lvlText w:val="%1.%2.%3.%4.%5.%6.%7."/>
      <w:lvlJc w:val="left"/>
      <w:pPr>
        <w:ind w:left="6048" w:hanging="1440"/>
      </w:pPr>
      <w:rPr>
        <w:rFonts w:hint="default"/>
        <w:b/>
      </w:rPr>
    </w:lvl>
    <w:lvl w:ilvl="7">
      <w:start w:val="1"/>
      <w:numFmt w:val="decimal"/>
      <w:isLgl/>
      <w:lvlText w:val="%1.%2.%3.%4.%5.%6.%7.%8."/>
      <w:lvlJc w:val="left"/>
      <w:pPr>
        <w:ind w:left="7116" w:hanging="1800"/>
      </w:pPr>
      <w:rPr>
        <w:rFonts w:hint="default"/>
        <w:b/>
      </w:rPr>
    </w:lvl>
    <w:lvl w:ilvl="8">
      <w:start w:val="1"/>
      <w:numFmt w:val="decimal"/>
      <w:isLgl/>
      <w:lvlText w:val="%1.%2.%3.%4.%5.%6.%7.%8.%9."/>
      <w:lvlJc w:val="left"/>
      <w:pPr>
        <w:ind w:left="7824" w:hanging="1800"/>
      </w:pPr>
      <w:rPr>
        <w:rFonts w:hint="default"/>
        <w:b/>
      </w:rPr>
    </w:lvl>
  </w:abstractNum>
  <w:abstractNum w:abstractNumId="6" w15:restartNumberingAfterBreak="0">
    <w:nsid w:val="7D9766EE"/>
    <w:multiLevelType w:val="multilevel"/>
    <w:tmpl w:val="F67A5D2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4"/>
  </w:num>
  <w:num w:numId="2">
    <w:abstractNumId w:val="3"/>
  </w:num>
  <w:num w:numId="3">
    <w:abstractNumId w:val="6"/>
  </w:num>
  <w:num w:numId="4">
    <w:abstractNumId w:val="1"/>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12B"/>
    <w:rsid w:val="00006D18"/>
    <w:rsid w:val="000134A9"/>
    <w:rsid w:val="000508EF"/>
    <w:rsid w:val="00071FFD"/>
    <w:rsid w:val="000A3345"/>
    <w:rsid w:val="000C6554"/>
    <w:rsid w:val="00103C42"/>
    <w:rsid w:val="00116AFA"/>
    <w:rsid w:val="00121498"/>
    <w:rsid w:val="00133B59"/>
    <w:rsid w:val="001424D6"/>
    <w:rsid w:val="001532D0"/>
    <w:rsid w:val="001718FD"/>
    <w:rsid w:val="0017563A"/>
    <w:rsid w:val="001771F9"/>
    <w:rsid w:val="002A68A6"/>
    <w:rsid w:val="002B20A9"/>
    <w:rsid w:val="002E4943"/>
    <w:rsid w:val="003408B3"/>
    <w:rsid w:val="00391635"/>
    <w:rsid w:val="003C72C2"/>
    <w:rsid w:val="003D1776"/>
    <w:rsid w:val="004B41C6"/>
    <w:rsid w:val="004F13CF"/>
    <w:rsid w:val="005122FA"/>
    <w:rsid w:val="0053612B"/>
    <w:rsid w:val="00571B73"/>
    <w:rsid w:val="005822C2"/>
    <w:rsid w:val="005F583D"/>
    <w:rsid w:val="00626E0F"/>
    <w:rsid w:val="00634187"/>
    <w:rsid w:val="00643D11"/>
    <w:rsid w:val="0067731A"/>
    <w:rsid w:val="00680041"/>
    <w:rsid w:val="006A2305"/>
    <w:rsid w:val="006A7591"/>
    <w:rsid w:val="006B1682"/>
    <w:rsid w:val="006C014C"/>
    <w:rsid w:val="006E390A"/>
    <w:rsid w:val="007110B0"/>
    <w:rsid w:val="007275B1"/>
    <w:rsid w:val="0077193A"/>
    <w:rsid w:val="00772C44"/>
    <w:rsid w:val="007845EA"/>
    <w:rsid w:val="007A7764"/>
    <w:rsid w:val="007B6B4C"/>
    <w:rsid w:val="007C35A8"/>
    <w:rsid w:val="00826640"/>
    <w:rsid w:val="00837873"/>
    <w:rsid w:val="0084040C"/>
    <w:rsid w:val="00857478"/>
    <w:rsid w:val="00860F2B"/>
    <w:rsid w:val="00875770"/>
    <w:rsid w:val="0089178E"/>
    <w:rsid w:val="00893F38"/>
    <w:rsid w:val="008A6B95"/>
    <w:rsid w:val="008E2217"/>
    <w:rsid w:val="008E5053"/>
    <w:rsid w:val="008F477F"/>
    <w:rsid w:val="008F72C8"/>
    <w:rsid w:val="00977ADB"/>
    <w:rsid w:val="009D1A0F"/>
    <w:rsid w:val="009D7A17"/>
    <w:rsid w:val="009E0FEA"/>
    <w:rsid w:val="00A30FA0"/>
    <w:rsid w:val="00A61AC9"/>
    <w:rsid w:val="00A76AD3"/>
    <w:rsid w:val="00AB4BAE"/>
    <w:rsid w:val="00AB75FC"/>
    <w:rsid w:val="00AD38CA"/>
    <w:rsid w:val="00AF5BC9"/>
    <w:rsid w:val="00B01E20"/>
    <w:rsid w:val="00B13C1A"/>
    <w:rsid w:val="00B24414"/>
    <w:rsid w:val="00B2660B"/>
    <w:rsid w:val="00B850C9"/>
    <w:rsid w:val="00B92318"/>
    <w:rsid w:val="00BF384B"/>
    <w:rsid w:val="00C17A52"/>
    <w:rsid w:val="00C24361"/>
    <w:rsid w:val="00C33076"/>
    <w:rsid w:val="00C44650"/>
    <w:rsid w:val="00C67037"/>
    <w:rsid w:val="00C8311A"/>
    <w:rsid w:val="00CA5A3D"/>
    <w:rsid w:val="00CA5D1C"/>
    <w:rsid w:val="00CB5AF5"/>
    <w:rsid w:val="00CB6093"/>
    <w:rsid w:val="00CC0053"/>
    <w:rsid w:val="00D15825"/>
    <w:rsid w:val="00D545E4"/>
    <w:rsid w:val="00D760A4"/>
    <w:rsid w:val="00D97177"/>
    <w:rsid w:val="00E32F53"/>
    <w:rsid w:val="00E51C64"/>
    <w:rsid w:val="00E5600F"/>
    <w:rsid w:val="00E63874"/>
    <w:rsid w:val="00EA0C7A"/>
    <w:rsid w:val="00EC5C92"/>
    <w:rsid w:val="00EE1F69"/>
    <w:rsid w:val="00F03BC8"/>
    <w:rsid w:val="00F06AF1"/>
    <w:rsid w:val="00F074C8"/>
    <w:rsid w:val="00F13990"/>
    <w:rsid w:val="00F81389"/>
    <w:rsid w:val="00FA2E0B"/>
    <w:rsid w:val="00FA75C8"/>
    <w:rsid w:val="00FE71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E04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776"/>
    <w:pPr>
      <w:spacing w:after="160" w:line="259" w:lineRule="auto"/>
      <w:ind w:left="708"/>
    </w:pPr>
    <w:rPr>
      <w:sz w:val="24"/>
      <w:szCs w:val="24"/>
    </w:rPr>
  </w:style>
  <w:style w:type="paragraph" w:styleId="Titre1">
    <w:name w:val="heading 1"/>
    <w:basedOn w:val="Normal"/>
    <w:next w:val="Normal"/>
    <w:link w:val="Titre1Car"/>
    <w:uiPriority w:val="9"/>
    <w:qFormat/>
    <w:rsid w:val="0084040C"/>
    <w:pPr>
      <w:keepNext/>
      <w:spacing w:before="240" w:after="60"/>
      <w:outlineLvl w:val="0"/>
    </w:pPr>
    <w:rPr>
      <w:rFonts w:eastAsia="Times New Roman"/>
      <w:b/>
      <w:bCs/>
      <w:kern w:val="32"/>
      <w:sz w:val="32"/>
      <w:szCs w:val="32"/>
    </w:rPr>
  </w:style>
  <w:style w:type="paragraph" w:styleId="Titre2">
    <w:name w:val="heading 2"/>
    <w:basedOn w:val="Normal"/>
    <w:next w:val="Normal"/>
    <w:link w:val="Titre2Car"/>
    <w:uiPriority w:val="9"/>
    <w:unhideWhenUsed/>
    <w:qFormat/>
    <w:rsid w:val="0084040C"/>
    <w:pPr>
      <w:keepNext/>
      <w:spacing w:before="240" w:after="60"/>
      <w:outlineLvl w:val="1"/>
    </w:pPr>
    <w:rPr>
      <w:rFonts w:eastAsia="Times New Roman"/>
      <w:b/>
      <w:bCs/>
      <w:i/>
      <w:iCs/>
      <w:sz w:val="28"/>
      <w:szCs w:val="28"/>
    </w:rPr>
  </w:style>
  <w:style w:type="paragraph" w:styleId="Titre3">
    <w:name w:val="heading 3"/>
    <w:basedOn w:val="Normal"/>
    <w:next w:val="Normal"/>
    <w:link w:val="Titre3Car"/>
    <w:uiPriority w:val="9"/>
    <w:unhideWhenUsed/>
    <w:qFormat/>
    <w:rsid w:val="0084040C"/>
    <w:pPr>
      <w:keepNext/>
      <w:spacing w:before="240" w:after="60"/>
      <w:outlineLvl w:val="2"/>
    </w:pPr>
    <w:rPr>
      <w:rFonts w:eastAsia="Times New Roman"/>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3612B"/>
    <w:pPr>
      <w:tabs>
        <w:tab w:val="center" w:pos="4536"/>
        <w:tab w:val="right" w:pos="9072"/>
      </w:tabs>
      <w:spacing w:after="0" w:line="240" w:lineRule="auto"/>
      <w:ind w:left="0"/>
    </w:pPr>
    <w:rPr>
      <w:rFonts w:ascii="Calibri" w:hAnsi="Calibri"/>
    </w:rPr>
  </w:style>
  <w:style w:type="character" w:customStyle="1" w:styleId="En-tteCar">
    <w:name w:val="En-tête Car"/>
    <w:basedOn w:val="Policepardfaut"/>
    <w:link w:val="En-tte"/>
    <w:uiPriority w:val="99"/>
    <w:rsid w:val="0053612B"/>
  </w:style>
  <w:style w:type="paragraph" w:styleId="Pieddepage">
    <w:name w:val="footer"/>
    <w:basedOn w:val="Normal"/>
    <w:link w:val="PieddepageCar"/>
    <w:uiPriority w:val="99"/>
    <w:unhideWhenUsed/>
    <w:rsid w:val="0053612B"/>
    <w:pPr>
      <w:tabs>
        <w:tab w:val="center" w:pos="4536"/>
        <w:tab w:val="right" w:pos="9072"/>
      </w:tabs>
      <w:spacing w:after="0" w:line="240" w:lineRule="auto"/>
      <w:ind w:left="0"/>
    </w:pPr>
    <w:rPr>
      <w:rFonts w:ascii="Calibri" w:hAnsi="Calibri"/>
    </w:rPr>
  </w:style>
  <w:style w:type="character" w:customStyle="1" w:styleId="PieddepageCar">
    <w:name w:val="Pied de page Car"/>
    <w:basedOn w:val="Policepardfaut"/>
    <w:link w:val="Pieddepage"/>
    <w:uiPriority w:val="99"/>
    <w:rsid w:val="0053612B"/>
  </w:style>
  <w:style w:type="paragraph" w:customStyle="1" w:styleId="consignes">
    <w:name w:val="(!)consignes"/>
    <w:basedOn w:val="Normal"/>
    <w:link w:val="consignesCar"/>
    <w:qFormat/>
    <w:rsid w:val="0053612B"/>
    <w:pPr>
      <w:spacing w:after="0" w:line="240" w:lineRule="auto"/>
      <w:ind w:left="1572" w:right="-20"/>
    </w:pPr>
    <w:rPr>
      <w:rFonts w:ascii="Calibri" w:hAnsi="Calibri" w:cs="Calibri"/>
      <w:color w:val="231F20"/>
      <w:sz w:val="18"/>
    </w:rPr>
  </w:style>
  <w:style w:type="character" w:customStyle="1" w:styleId="consignesCar">
    <w:name w:val="(!)consignes Car"/>
    <w:link w:val="consignes"/>
    <w:rsid w:val="0053612B"/>
    <w:rPr>
      <w:rFonts w:ascii="Calibri" w:eastAsia="Calibri" w:hAnsi="Calibri" w:cs="Calibri"/>
      <w:color w:val="231F20"/>
      <w:sz w:val="18"/>
    </w:rPr>
  </w:style>
  <w:style w:type="table" w:styleId="Grilledutableau">
    <w:name w:val="Table Grid"/>
    <w:basedOn w:val="TableauNormal"/>
    <w:uiPriority w:val="39"/>
    <w:rsid w:val="00B01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etePiedsDePage">
    <w:name w:val="(!)EnTetePiedsDePage"/>
    <w:basedOn w:val="Pieddepage"/>
    <w:link w:val="EnTetePiedsDePageCar"/>
    <w:qFormat/>
    <w:rsid w:val="001424D6"/>
    <w:pPr>
      <w:spacing w:before="40" w:after="40"/>
      <w:jc w:val="right"/>
    </w:pPr>
    <w:rPr>
      <w:rFonts w:ascii="Arial" w:hAnsi="Arial" w:cs="Arial"/>
      <w:sz w:val="18"/>
    </w:rPr>
  </w:style>
  <w:style w:type="character" w:customStyle="1" w:styleId="EnTetePiedsDePageCar">
    <w:name w:val="(!)EnTetePiedsDePage Car"/>
    <w:link w:val="EnTetePiedsDePage"/>
    <w:rsid w:val="001424D6"/>
    <w:rPr>
      <w:rFonts w:ascii="Arial" w:hAnsi="Arial" w:cs="Arial"/>
      <w:sz w:val="18"/>
    </w:rPr>
  </w:style>
  <w:style w:type="character" w:customStyle="1" w:styleId="Titre1Car">
    <w:name w:val="Titre 1 Car"/>
    <w:link w:val="Titre1"/>
    <w:uiPriority w:val="9"/>
    <w:rsid w:val="0084040C"/>
    <w:rPr>
      <w:rFonts w:eastAsia="Times New Roman" w:cs="Times New Roman"/>
      <w:b/>
      <w:bCs/>
      <w:kern w:val="32"/>
      <w:sz w:val="32"/>
      <w:szCs w:val="32"/>
    </w:rPr>
  </w:style>
  <w:style w:type="character" w:customStyle="1" w:styleId="Titre2Car">
    <w:name w:val="Titre 2 Car"/>
    <w:link w:val="Titre2"/>
    <w:uiPriority w:val="9"/>
    <w:rsid w:val="0084040C"/>
    <w:rPr>
      <w:rFonts w:eastAsia="Times New Roman" w:cs="Times New Roman"/>
      <w:b/>
      <w:bCs/>
      <w:i/>
      <w:iCs/>
      <w:sz w:val="28"/>
      <w:szCs w:val="28"/>
    </w:rPr>
  </w:style>
  <w:style w:type="character" w:customStyle="1" w:styleId="Titre3Car">
    <w:name w:val="Titre 3 Car"/>
    <w:link w:val="Titre3"/>
    <w:uiPriority w:val="9"/>
    <w:rsid w:val="0084040C"/>
    <w:rPr>
      <w:rFonts w:eastAsia="Times New Roman" w:cs="Times New Roman"/>
      <w:b/>
      <w:bCs/>
      <w:szCs w:val="26"/>
    </w:rPr>
  </w:style>
  <w:style w:type="paragraph" w:styleId="Textedebulles">
    <w:name w:val="Balloon Text"/>
    <w:basedOn w:val="Normal"/>
    <w:link w:val="TextedebullesCar"/>
    <w:uiPriority w:val="99"/>
    <w:semiHidden/>
    <w:unhideWhenUsed/>
    <w:rsid w:val="00AF5BC9"/>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AF5BC9"/>
    <w:rPr>
      <w:rFonts w:ascii="Tahoma" w:hAnsi="Tahoma" w:cs="Tahoma"/>
      <w:sz w:val="16"/>
      <w:szCs w:val="16"/>
    </w:rPr>
  </w:style>
  <w:style w:type="character" w:styleId="Lienhypertexte">
    <w:name w:val="Hyperlink"/>
    <w:basedOn w:val="Policepardfaut"/>
    <w:uiPriority w:val="99"/>
    <w:unhideWhenUsed/>
    <w:rsid w:val="00F81389"/>
    <w:rPr>
      <w:color w:val="0000FF" w:themeColor="hyperlink"/>
      <w:u w:val="single"/>
    </w:rPr>
  </w:style>
  <w:style w:type="character" w:styleId="Mentionnonrsolue">
    <w:name w:val="Unresolved Mention"/>
    <w:basedOn w:val="Policepardfaut"/>
    <w:uiPriority w:val="99"/>
    <w:semiHidden/>
    <w:unhideWhenUsed/>
    <w:rsid w:val="00F81389"/>
    <w:rPr>
      <w:color w:val="605E5C"/>
      <w:shd w:val="clear" w:color="auto" w:fill="E1DFDD"/>
    </w:rPr>
  </w:style>
  <w:style w:type="paragraph" w:styleId="Paragraphedeliste">
    <w:name w:val="List Paragraph"/>
    <w:basedOn w:val="Normal"/>
    <w:uiPriority w:val="34"/>
    <w:qFormat/>
    <w:rsid w:val="00BF38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711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oleObject" Target="embeddings/oleObject9.bin"/><Relationship Id="rId7" Type="http://schemas.openxmlformats.org/officeDocument/2006/relationships/hyperlink" Target="http://labolycee.org" TargetMode="External"/><Relationship Id="rId12" Type="http://schemas.openxmlformats.org/officeDocument/2006/relationships/image" Target="media/image3.wmf"/><Relationship Id="rId17" Type="http://schemas.openxmlformats.org/officeDocument/2006/relationships/image" Target="media/image5.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oleObject" Target="embeddings/oleObject7.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10.bin"/></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757</Words>
  <Characters>4169</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2020-03-15T09:54:00Z</dcterms:created>
  <dcterms:modified xsi:type="dcterms:W3CDTF">2020-06-19T13:44:00Z</dcterms:modified>
</cp:coreProperties>
</file>