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81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43E0C" w14:paraId="08B83774" w14:textId="77777777" w:rsidTr="009F0A4A">
        <w:tc>
          <w:tcPr>
            <w:tcW w:w="10205" w:type="dxa"/>
          </w:tcPr>
          <w:p w14:paraId="0A94C78E" w14:textId="396523DA" w:rsidR="00743E0C" w:rsidRPr="00743E0C" w:rsidRDefault="00743E0C" w:rsidP="009F0A4A">
            <w:pPr>
              <w:jc w:val="center"/>
              <w:rPr>
                <w:rFonts w:eastAsia="Times New Roman"/>
                <w:b/>
                <w:color w:val="595959" w:themeColor="text1" w:themeTint="A6"/>
                <w:sz w:val="24"/>
                <w:szCs w:val="24"/>
              </w:rPr>
            </w:pPr>
            <w:r w:rsidRPr="00743E0C">
              <w:rPr>
                <w:rFonts w:eastAsia="Times New Roman"/>
                <w:b/>
                <w:sz w:val="24"/>
                <w:szCs w:val="24"/>
              </w:rPr>
              <w:t>ÉPREUVES COMMUNES DE CONTRÔLE CONTINU</w:t>
            </w:r>
            <w:r w:rsidRPr="00743E0C">
              <w:rPr>
                <w:rFonts w:eastAsia="Times New Roman"/>
                <w:b/>
                <w:sz w:val="24"/>
                <w:szCs w:val="24"/>
              </w:rPr>
              <w:tab/>
              <w:t>2020</w:t>
            </w:r>
            <w:r w:rsidRPr="00743E0C">
              <w:rPr>
                <w:rFonts w:eastAsia="Times New Roman"/>
                <w:b/>
                <w:sz w:val="24"/>
                <w:szCs w:val="24"/>
              </w:rPr>
              <w:br/>
            </w:r>
            <w:r w:rsidRPr="00743E0C">
              <w:rPr>
                <w:b/>
                <w:sz w:val="24"/>
                <w:szCs w:val="24"/>
              </w:rPr>
              <w:t xml:space="preserve">CORRECTION © </w:t>
            </w:r>
            <w:hyperlink r:id="rId5" w:history="1">
              <w:r w:rsidRPr="00743E0C">
                <w:rPr>
                  <w:rStyle w:val="Lienhypertexte"/>
                  <w:rFonts w:eastAsia="Times New Roman"/>
                  <w:b/>
                  <w:sz w:val="24"/>
                  <w:szCs w:val="24"/>
                </w:rPr>
                <w:t>http://labolycee.org</w:t>
              </w:r>
            </w:hyperlink>
            <w:r w:rsidRPr="00743E0C">
              <w:rPr>
                <w:rFonts w:eastAsia="Times New Roman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743E0C" w14:paraId="2071E4CF" w14:textId="77777777" w:rsidTr="009F0A4A">
        <w:tc>
          <w:tcPr>
            <w:tcW w:w="10205" w:type="dxa"/>
          </w:tcPr>
          <w:p w14:paraId="1E341EB5" w14:textId="45480820" w:rsidR="00743E0C" w:rsidRPr="00893F38" w:rsidRDefault="00743E0C" w:rsidP="009F0A4A">
            <w:pPr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Première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 :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Cs w:val="22"/>
              </w:rPr>
              <w:t>E3C3</w:t>
            </w:r>
          </w:p>
          <w:p w14:paraId="508AB6C2" w14:textId="2DC5CBD6" w:rsidR="00743E0C" w:rsidRPr="00626E0F" w:rsidRDefault="00743E0C" w:rsidP="009F0A4A">
            <w:pPr>
              <w:ind w:left="34"/>
              <w:rPr>
                <w:rFonts w:eastAsia="Times New Roman"/>
                <w:b/>
                <w:color w:val="000000" w:themeColor="text1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r w:rsidRPr="00626E0F">
              <w:rPr>
                <w:rFonts w:eastAsia="Times New Roman"/>
                <w:color w:val="000000" w:themeColor="text1"/>
                <w:szCs w:val="22"/>
              </w:rPr>
              <w:t xml:space="preserve"> Générale</w:t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>
              <w:rPr>
                <w:rFonts w:ascii="MS Gothic" w:eastAsia="MS Gothic" w:hAnsi="MS Gothic"/>
                <w:color w:val="000000" w:themeColor="text1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physique-chimie</w:t>
            </w:r>
          </w:p>
          <w:p w14:paraId="7492025F" w14:textId="081C6B35" w:rsidR="00743E0C" w:rsidRPr="00626E0F" w:rsidRDefault="00743E0C" w:rsidP="009F0A4A">
            <w:pPr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Cs w:val="22"/>
              </w:rPr>
              <w:t xml:space="preserve"> 2 h</w:t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color w:val="000000" w:themeColor="text1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Cs w:val="22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☒</w:t>
            </w:r>
            <w:proofErr w:type="gramStart"/>
            <w:r>
              <w:rPr>
                <w:rFonts w:eastAsia="Times New Roman"/>
                <w:color w:val="000000" w:themeColor="text1"/>
                <w:szCs w:val="22"/>
              </w:rPr>
              <w:t xml:space="preserve">Oui  </w:t>
            </w:r>
            <w:r>
              <w:rPr>
                <w:rFonts w:ascii="MS Gothic" w:eastAsia="MS Gothic" w:hAnsi="MS Gothic" w:hint="eastAsia"/>
                <w:color w:val="000000" w:themeColor="text1"/>
                <w:szCs w:val="22"/>
              </w:rPr>
              <w:t>☐</w:t>
            </w:r>
            <w:proofErr w:type="gramEnd"/>
            <w:r>
              <w:rPr>
                <w:rFonts w:eastAsia="Times New Roman"/>
                <w:color w:val="000000" w:themeColor="text1"/>
                <w:szCs w:val="22"/>
              </w:rPr>
              <w:t xml:space="preserve"> Non</w:t>
            </w:r>
          </w:p>
        </w:tc>
      </w:tr>
    </w:tbl>
    <w:p w14:paraId="244081B1" w14:textId="33FEC136" w:rsidR="00743E0C" w:rsidRDefault="00743E0C" w:rsidP="00743E0C">
      <w:pPr>
        <w:widowControl w:val="0"/>
        <w:autoSpaceDE w:val="0"/>
        <w:autoSpaceDN w:val="0"/>
        <w:adjustRightInd w:val="0"/>
        <w:jc w:val="center"/>
        <w:rPr>
          <w:rFonts w:eastAsia="Arial" w:cs="Arial"/>
          <w:b/>
          <w:bCs/>
          <w:lang w:eastAsia="en-US"/>
        </w:rPr>
      </w:pPr>
      <w:r w:rsidRPr="007A2432">
        <w:rPr>
          <w:rFonts w:eastAsia="Arial" w:cs="Arial"/>
          <w:b/>
          <w:bCs/>
          <w:lang w:eastAsia="en-US"/>
        </w:rPr>
        <w:t>Le superamas Laniakea (10 points)</w:t>
      </w:r>
    </w:p>
    <w:p w14:paraId="4F47150D" w14:textId="3895178F" w:rsidR="006E4C6A" w:rsidRPr="007A2432" w:rsidRDefault="006E4C6A" w:rsidP="006E4C6A">
      <w:pPr>
        <w:widowControl w:val="0"/>
        <w:autoSpaceDE w:val="0"/>
        <w:autoSpaceDN w:val="0"/>
        <w:adjustRightInd w:val="0"/>
        <w:rPr>
          <w:rFonts w:eastAsia="Arial" w:cs="Arial"/>
          <w:b/>
          <w:bCs/>
          <w:lang w:eastAsia="en-US"/>
        </w:rPr>
      </w:pPr>
      <w:r w:rsidRPr="007A2432">
        <w:rPr>
          <w:rFonts w:eastAsia="Arial" w:cs="Arial"/>
          <w:b/>
          <w:lang w:eastAsia="en-US"/>
        </w:rPr>
        <w:t>Partie 1 : différents télescopes pour différents types de photons de lumière</w:t>
      </w:r>
    </w:p>
    <w:p w14:paraId="76C81338" w14:textId="77777777" w:rsidR="007F1B1C" w:rsidRDefault="005F0868" w:rsidP="006E4C6A">
      <w:pPr>
        <w:jc w:val="both"/>
        <w:rPr>
          <w:b/>
          <w:bCs/>
        </w:rPr>
      </w:pPr>
      <w:r>
        <w:rPr>
          <w:b/>
          <w:bCs/>
        </w:rPr>
        <w:t>1.1.À partir de la lecture du document ci-dessus, le TCFH peut-il capter des photons d’énergie de haute ou basse fréquence ?</w:t>
      </w:r>
    </w:p>
    <w:p w14:paraId="425088E3" w14:textId="3A88FABA" w:rsidR="007F1B1C" w:rsidRDefault="005F0868" w:rsidP="00BE17EF">
      <w:pPr>
        <w:jc w:val="both"/>
      </w:pPr>
      <w:r>
        <w:t xml:space="preserve">Le TCFH est sensibles aux lumières visible et infrarouge, donc aux photons de fréquence comprise entre </w:t>
      </w:r>
      <w:r>
        <w:t>1</w:t>
      </w:r>
      <w:r w:rsidR="00BE17EF">
        <w:t> </w:t>
      </w:r>
      <w:proofErr w:type="spellStart"/>
      <w:r>
        <w:t>THz</w:t>
      </w:r>
      <w:proofErr w:type="spellEnd"/>
      <w:r w:rsidR="00BE17EF">
        <w:t xml:space="preserve"> (=10</w:t>
      </w:r>
      <w:r w:rsidR="00BE17EF">
        <w:rPr>
          <w:vertAlign w:val="superscript"/>
        </w:rPr>
        <w:t>12</w:t>
      </w:r>
      <w:r w:rsidR="00BE17EF">
        <w:t> Hz)</w:t>
      </w:r>
      <w:r>
        <w:t xml:space="preserve"> et 1</w:t>
      </w:r>
      <w:r w:rsidR="00BE17EF">
        <w:t> </w:t>
      </w:r>
      <w:proofErr w:type="spellStart"/>
      <w:proofErr w:type="gramStart"/>
      <w:r>
        <w:t>PHz</w:t>
      </w:r>
      <w:proofErr w:type="spellEnd"/>
      <w:r w:rsidR="00BE17EF">
        <w:t>(</w:t>
      </w:r>
      <w:proofErr w:type="gramEnd"/>
      <w:r w:rsidR="00BE17EF">
        <w:t>10</w:t>
      </w:r>
      <w:r w:rsidR="00BE17EF">
        <w:rPr>
          <w:vertAlign w:val="superscript"/>
        </w:rPr>
        <w:t>15 </w:t>
      </w:r>
      <w:r w:rsidR="00BE17EF">
        <w:t>Hz)</w:t>
      </w:r>
      <w:r>
        <w:t xml:space="preserve">, </w:t>
      </w:r>
      <w:r w:rsidR="00BE17EF">
        <w:t xml:space="preserve">donc </w:t>
      </w:r>
      <w:r>
        <w:t xml:space="preserve">des </w:t>
      </w:r>
      <w:r w:rsidRPr="00BE17EF">
        <w:rPr>
          <w:b/>
          <w:bCs/>
        </w:rPr>
        <w:t xml:space="preserve">fréquence </w:t>
      </w:r>
      <w:r w:rsidRPr="00BE17EF">
        <w:rPr>
          <w:b/>
          <w:bCs/>
        </w:rPr>
        <w:t>hautes</w:t>
      </w:r>
      <w:r>
        <w:t>.</w:t>
      </w:r>
    </w:p>
    <w:p w14:paraId="26A054B1" w14:textId="77777777" w:rsidR="007F1B1C" w:rsidRDefault="007F1B1C"/>
    <w:p w14:paraId="6FDDD72D" w14:textId="320747E2" w:rsidR="007F1B1C" w:rsidRDefault="005F0868">
      <w:pPr>
        <w:rPr>
          <w:b/>
          <w:bCs/>
        </w:rPr>
      </w:pPr>
      <w:r>
        <w:rPr>
          <w:b/>
          <w:bCs/>
        </w:rPr>
        <w:t>1.2.</w:t>
      </w:r>
      <w:r w:rsidR="00BF1B41">
        <w:rPr>
          <w:b/>
          <w:bCs/>
        </w:rPr>
        <w:t xml:space="preserve"> </w:t>
      </w:r>
      <w:r>
        <w:rPr>
          <w:b/>
          <w:bCs/>
        </w:rPr>
        <w:t>Quel est l’ordre de grandeur de la longueur d’onde des photons que peut capter le TCFH ? Justifier votre réponse.</w:t>
      </w:r>
    </w:p>
    <w:p w14:paraId="61C1B221" w14:textId="188DF758" w:rsidR="007F1B1C" w:rsidRDefault="005F0868" w:rsidP="00026B45">
      <w:pPr>
        <w:jc w:val="both"/>
      </w:pPr>
      <w:r>
        <w:t>Le visible est compris entre 400</w:t>
      </w:r>
      <w:r w:rsidR="00026B45">
        <w:t> </w:t>
      </w:r>
      <w:r>
        <w:t>nm</w:t>
      </w:r>
      <w:r w:rsidR="00026B45">
        <w:t xml:space="preserve"> </w:t>
      </w:r>
      <w:r>
        <w:t>=</w:t>
      </w:r>
      <w:r w:rsidR="00026B45">
        <w:t xml:space="preserve"> </w:t>
      </w:r>
      <w:r>
        <w:t>0,4</w:t>
      </w:r>
      <w:r w:rsidR="00026B45">
        <w:t> </w:t>
      </w:r>
      <w:r>
        <w:t>µm et 800</w:t>
      </w:r>
      <w:r w:rsidR="00026B45">
        <w:t> </w:t>
      </w:r>
      <w:r>
        <w:t>nm</w:t>
      </w:r>
      <w:r w:rsidR="00026B45">
        <w:t xml:space="preserve"> </w:t>
      </w:r>
      <w:r>
        <w:t>=</w:t>
      </w:r>
      <w:r w:rsidR="00026B45">
        <w:t xml:space="preserve"> </w:t>
      </w:r>
      <w:r>
        <w:t>0,8</w:t>
      </w:r>
      <w:r w:rsidR="00026B45">
        <w:t> </w:t>
      </w:r>
      <w:r>
        <w:t xml:space="preserve">µm. De plus le TCFH est également </w:t>
      </w:r>
      <w:r>
        <w:t xml:space="preserve">sensibles au Infrarouges </w:t>
      </w:r>
      <w:r>
        <w:t xml:space="preserve">λ </w:t>
      </w:r>
      <w:r>
        <w:t>&gt; 0,8</w:t>
      </w:r>
      <w:r w:rsidR="00026B45">
        <w:t> </w:t>
      </w:r>
      <w:r>
        <w:t xml:space="preserve">µm. L’ordre de grandeur le plus proche de ces valeurs est </w:t>
      </w:r>
      <w:r w:rsidRPr="00401AF2">
        <w:rPr>
          <w:b/>
          <w:bCs/>
        </w:rPr>
        <w:t>1</w:t>
      </w:r>
      <w:r w:rsidR="00026B45" w:rsidRPr="00401AF2">
        <w:rPr>
          <w:b/>
          <w:bCs/>
        </w:rPr>
        <w:t> </w:t>
      </w:r>
      <w:r w:rsidRPr="00401AF2">
        <w:rPr>
          <w:b/>
          <w:bCs/>
        </w:rPr>
        <w:t>µm = 10</w:t>
      </w:r>
      <w:r w:rsidR="00026B45" w:rsidRPr="00401AF2">
        <w:rPr>
          <w:b/>
          <w:bCs/>
          <w:vertAlign w:val="superscript"/>
        </w:rPr>
        <w:t>–</w:t>
      </w:r>
      <w:r w:rsidRPr="00401AF2">
        <w:rPr>
          <w:b/>
          <w:bCs/>
          <w:vertAlign w:val="superscript"/>
        </w:rPr>
        <w:t>6</w:t>
      </w:r>
      <w:r w:rsidR="00026B45" w:rsidRPr="00401AF2">
        <w:rPr>
          <w:b/>
          <w:bCs/>
          <w:vertAlign w:val="superscript"/>
        </w:rPr>
        <w:t> </w:t>
      </w:r>
      <w:r w:rsidRPr="00401AF2">
        <w:rPr>
          <w:b/>
          <w:bCs/>
        </w:rPr>
        <w:t>m</w:t>
      </w:r>
      <w:r w:rsidR="00026B45">
        <w:t>.</w:t>
      </w:r>
    </w:p>
    <w:p w14:paraId="5EDB7D18" w14:textId="77777777" w:rsidR="007F1B1C" w:rsidRDefault="007F1B1C"/>
    <w:p w14:paraId="255AEB25" w14:textId="1956B347" w:rsidR="007F1B1C" w:rsidRDefault="005F0868">
      <w:pPr>
        <w:rPr>
          <w:b/>
          <w:bCs/>
        </w:rPr>
      </w:pPr>
      <w:r>
        <w:rPr>
          <w:b/>
          <w:bCs/>
        </w:rPr>
        <w:t>1.3.</w:t>
      </w:r>
      <w:r w:rsidR="00026B45">
        <w:rPr>
          <w:b/>
          <w:bCs/>
        </w:rPr>
        <w:t xml:space="preserve"> </w:t>
      </w:r>
      <w:proofErr w:type="gramStart"/>
      <w:r>
        <w:rPr>
          <w:b/>
          <w:bCs/>
        </w:rPr>
        <w:t>Le</w:t>
      </w:r>
      <w:proofErr w:type="gramEnd"/>
      <w:r>
        <w:rPr>
          <w:b/>
          <w:bCs/>
        </w:rPr>
        <w:t xml:space="preserve"> GBT peut-il capter des photons dont la longueur d’onde est plus courte ou plus longue que le TCFH ? Justifier votre réponse.</w:t>
      </w:r>
    </w:p>
    <w:p w14:paraId="722A8C68" w14:textId="0DC095BF" w:rsidR="007F1B1C" w:rsidRPr="007C13B5" w:rsidRDefault="005F0868" w:rsidP="007C13B5">
      <w:pPr>
        <w:jc w:val="both"/>
        <w:rPr>
          <w:rFonts w:cs="Arial"/>
        </w:rPr>
      </w:pPr>
      <w:r>
        <w:t xml:space="preserve">Le GBT est sensible </w:t>
      </w:r>
      <w:r>
        <w:t>à des longueurs d’onde de l’ordre de 10</w:t>
      </w:r>
      <w:r w:rsidR="007C13B5">
        <w:t> </w:t>
      </w:r>
      <w:r>
        <w:t>cm, on peut donc écrire que</w:t>
      </w:r>
      <w:r w:rsidR="007C13B5" w:rsidRPr="007C13B5">
        <w:rPr>
          <w:rFonts w:cs="Arial"/>
        </w:rPr>
        <w:t xml:space="preserve"> </w:t>
      </w:r>
      <w:r w:rsidR="00401AF2">
        <w:rPr>
          <w:rFonts w:cs="Arial"/>
        </w:rPr>
        <w:br/>
      </w:r>
      <w:proofErr w:type="spellStart"/>
      <w:r w:rsidR="007C13B5" w:rsidRPr="00401AF2">
        <w:rPr>
          <w:rFonts w:cs="Arial"/>
          <w:b/>
          <w:bCs/>
        </w:rPr>
        <w:t>λ</w:t>
      </w:r>
      <w:r w:rsidR="007C13B5" w:rsidRPr="00401AF2">
        <w:rPr>
          <w:rFonts w:cs="Arial"/>
          <w:b/>
          <w:bCs/>
          <w:vertAlign w:val="subscript"/>
        </w:rPr>
        <w:t>GBT</w:t>
      </w:r>
      <w:proofErr w:type="spellEnd"/>
      <w:r w:rsidR="007C13B5" w:rsidRPr="00401AF2">
        <w:rPr>
          <w:rFonts w:cs="Arial"/>
          <w:b/>
          <w:bCs/>
        </w:rPr>
        <w:t xml:space="preserve"> &gt; </w:t>
      </w:r>
      <w:proofErr w:type="spellStart"/>
      <w:r w:rsidR="007C13B5" w:rsidRPr="00401AF2">
        <w:rPr>
          <w:rFonts w:cs="Arial"/>
          <w:b/>
          <w:bCs/>
        </w:rPr>
        <w:t>λ</w:t>
      </w:r>
      <w:r w:rsidR="007C13B5" w:rsidRPr="00401AF2">
        <w:rPr>
          <w:rFonts w:cs="Arial"/>
          <w:b/>
          <w:bCs/>
          <w:vertAlign w:val="subscript"/>
        </w:rPr>
        <w:t>TCFH</w:t>
      </w:r>
      <w:proofErr w:type="spellEnd"/>
      <w:r w:rsidR="007C13B5">
        <w:rPr>
          <w:rFonts w:cs="Arial"/>
        </w:rPr>
        <w:t>.</w:t>
      </w:r>
    </w:p>
    <w:p w14:paraId="65596791" w14:textId="77777777" w:rsidR="007F1B1C" w:rsidRDefault="007F1B1C"/>
    <w:p w14:paraId="31E71432" w14:textId="2297A4A9" w:rsidR="007F1B1C" w:rsidRDefault="005F0868" w:rsidP="00144BFF">
      <w:pPr>
        <w:jc w:val="both"/>
        <w:rPr>
          <w:b/>
          <w:bCs/>
        </w:rPr>
      </w:pPr>
      <w:r>
        <w:rPr>
          <w:b/>
          <w:bCs/>
        </w:rPr>
        <w:t>1.4.</w:t>
      </w:r>
      <w:r w:rsidR="00144BFF">
        <w:rPr>
          <w:b/>
          <w:bCs/>
        </w:rPr>
        <w:t xml:space="preserve"> </w:t>
      </w:r>
      <w:r>
        <w:rPr>
          <w:b/>
          <w:bCs/>
        </w:rPr>
        <w:t>Quelle est la valeur de la fréquence des ondes radio utilisées par les téléphones portables ?</w:t>
      </w:r>
    </w:p>
    <w:p w14:paraId="3754A37C" w14:textId="166FDDBB" w:rsidR="00144BFF" w:rsidRDefault="005F0868">
      <w:r>
        <w:t>On sait que</w:t>
      </w:r>
      <w:r w:rsidR="00144BFF">
        <w:t xml:space="preserve"> </w:t>
      </w:r>
      <w:r w:rsidR="00144BFF" w:rsidRPr="00144BFF">
        <w:rPr>
          <w:position w:val="-24"/>
        </w:rPr>
        <w:object w:dxaOrig="639" w:dyaOrig="620" w14:anchorId="12862D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2.25pt;height:30.75pt" o:ole="">
            <v:imagedata r:id="rId6" o:title=""/>
          </v:shape>
          <o:OLEObject Type="Embed" ProgID="Equation.DSMT4" ShapeID="_x0000_i1028" DrawAspect="Content" ObjectID="_1653887364" r:id="rId7"/>
        </w:object>
      </w:r>
      <w:r w:rsidR="00144BFF">
        <w:t xml:space="preserve">, or les photons se déplacent à la célérité </w:t>
      </w:r>
      <w:r w:rsidR="00144BFF" w:rsidRPr="00144BFF">
        <w:t>c</w:t>
      </w:r>
      <w:r w:rsidR="00144BFF">
        <w:t xml:space="preserve"> donc </w:t>
      </w:r>
      <w:r w:rsidR="00144BFF" w:rsidRPr="00144BFF">
        <w:rPr>
          <w:position w:val="-24"/>
        </w:rPr>
        <w:object w:dxaOrig="639" w:dyaOrig="620" w14:anchorId="60C58041">
          <v:shape id="_x0000_i1031" type="#_x0000_t75" style="width:32.25pt;height:30.75pt" o:ole="">
            <v:imagedata r:id="rId8" o:title=""/>
          </v:shape>
          <o:OLEObject Type="Embed" ProgID="Equation.DSMT4" ShapeID="_x0000_i1031" DrawAspect="Content" ObjectID="_1653887365" r:id="rId9"/>
        </w:object>
      </w:r>
      <w:r w:rsidR="00144BFF">
        <w:t xml:space="preserve">, soit </w:t>
      </w:r>
      <w:r w:rsidR="00144BFF" w:rsidRPr="00144BFF">
        <w:rPr>
          <w:position w:val="-24"/>
        </w:rPr>
        <w:object w:dxaOrig="639" w:dyaOrig="620" w14:anchorId="2359F35C">
          <v:shape id="_x0000_i1034" type="#_x0000_t75" style="width:32.25pt;height:30.75pt" o:ole="">
            <v:imagedata r:id="rId10" o:title=""/>
          </v:shape>
          <o:OLEObject Type="Embed" ProgID="Equation.DSMT4" ShapeID="_x0000_i1034" DrawAspect="Content" ObjectID="_1653887366" r:id="rId11"/>
        </w:object>
      </w:r>
      <w:r w:rsidR="00144BFF">
        <w:t>.</w:t>
      </w:r>
    </w:p>
    <w:p w14:paraId="5C9A1BE2" w14:textId="2FA270E0" w:rsidR="00144BFF" w:rsidRDefault="00144BFF">
      <w:r w:rsidRPr="00144BFF">
        <w:rPr>
          <w:position w:val="-24"/>
        </w:rPr>
        <w:object w:dxaOrig="4099" w:dyaOrig="660" w14:anchorId="1F2C9BD9">
          <v:shape id="_x0000_i1040" type="#_x0000_t75" style="width:204.75pt;height:33pt" o:ole="">
            <v:imagedata r:id="rId12" o:title=""/>
          </v:shape>
          <o:OLEObject Type="Embed" ProgID="Equation.DSMT4" ShapeID="_x0000_i1040" DrawAspect="Content" ObjectID="_1653887367" r:id="rId13"/>
        </w:object>
      </w:r>
    </w:p>
    <w:p w14:paraId="2A3DC957" w14:textId="090B6767" w:rsidR="007F1B1C" w:rsidRDefault="00144BFF">
      <w:r>
        <w:t xml:space="preserve"> </w:t>
      </w:r>
    </w:p>
    <w:p w14:paraId="1F61D125" w14:textId="77777777" w:rsidR="007F1B1C" w:rsidRDefault="005F0868" w:rsidP="00D373DC">
      <w:pPr>
        <w:jc w:val="both"/>
        <w:rPr>
          <w:b/>
          <w:bCs/>
        </w:rPr>
      </w:pPr>
      <w:r>
        <w:rPr>
          <w:b/>
          <w:bCs/>
        </w:rPr>
        <w:t>1.5. Expliquer pourquoi on n</w:t>
      </w:r>
      <w:r>
        <w:rPr>
          <w:b/>
          <w:bCs/>
        </w:rPr>
        <w:t>e peut pas utiliser un téléphone portable dans un environnement proche du GBT.</w:t>
      </w:r>
    </w:p>
    <w:p w14:paraId="71D39462" w14:textId="77777777" w:rsidR="007F1B1C" w:rsidRPr="00D373DC" w:rsidRDefault="005F0868" w:rsidP="00D373DC">
      <w:pPr>
        <w:jc w:val="both"/>
        <w:rPr>
          <w:rFonts w:cs="Arial"/>
          <w:szCs w:val="24"/>
        </w:rPr>
      </w:pPr>
      <w:r w:rsidRPr="00D373DC">
        <w:rPr>
          <w:rFonts w:cs="Arial"/>
          <w:szCs w:val="24"/>
        </w:rPr>
        <w:t xml:space="preserve">Le GBT étant sensible aux ondes émises par un téléphone portable, </w:t>
      </w:r>
      <w:r w:rsidRPr="00D373DC">
        <w:rPr>
          <w:rFonts w:cs="Arial"/>
          <w:szCs w:val="24"/>
        </w:rPr>
        <w:t xml:space="preserve">son utilisation parasiterait le signal reçu du ciel par le </w:t>
      </w:r>
      <w:proofErr w:type="spellStart"/>
      <w:r w:rsidRPr="00D373DC">
        <w:rPr>
          <w:rFonts w:cs="Arial"/>
          <w:szCs w:val="24"/>
        </w:rPr>
        <w:t>radiotéléscope</w:t>
      </w:r>
      <w:proofErr w:type="spellEnd"/>
      <w:r w:rsidRPr="00D373DC">
        <w:rPr>
          <w:rFonts w:cs="Arial"/>
          <w:szCs w:val="24"/>
        </w:rPr>
        <w:t>, de la même manière que si l’on essa</w:t>
      </w:r>
      <w:r w:rsidRPr="00D373DC">
        <w:rPr>
          <w:rFonts w:cs="Arial"/>
          <w:szCs w:val="24"/>
        </w:rPr>
        <w:t>yait de regarder les étoiles en étant placé sous un lampadaire allumé.</w:t>
      </w:r>
    </w:p>
    <w:p w14:paraId="5CF066C4" w14:textId="331CB7E3" w:rsidR="007F1B1C" w:rsidRDefault="007F1B1C">
      <w:pPr>
        <w:rPr>
          <w:rFonts w:cs="Arial"/>
          <w:szCs w:val="24"/>
        </w:rPr>
      </w:pPr>
    </w:p>
    <w:p w14:paraId="4D97588F" w14:textId="77777777" w:rsidR="00D373DC" w:rsidRPr="007A2432" w:rsidRDefault="00D373DC" w:rsidP="00D373DC">
      <w:pPr>
        <w:widowControl w:val="0"/>
        <w:autoSpaceDE w:val="0"/>
        <w:autoSpaceDN w:val="0"/>
        <w:adjustRightInd w:val="0"/>
        <w:rPr>
          <w:rFonts w:eastAsia="Arial" w:cs="Arial"/>
          <w:b/>
          <w:lang w:eastAsia="en-US"/>
        </w:rPr>
      </w:pPr>
      <w:r w:rsidRPr="007A2432">
        <w:rPr>
          <w:rFonts w:eastAsia="Arial" w:cs="Arial"/>
          <w:b/>
          <w:lang w:eastAsia="en-US"/>
        </w:rPr>
        <w:t>Partie 2 : énergie d’un photon galactique</w:t>
      </w:r>
    </w:p>
    <w:p w14:paraId="0DA34E17" w14:textId="0ACDED5E" w:rsidR="007F1B1C" w:rsidRPr="00D373DC" w:rsidRDefault="004F64A8">
      <w:pPr>
        <w:rPr>
          <w:rFonts w:cs="Arial"/>
          <w:b/>
          <w:bCs/>
          <w:szCs w:val="24"/>
        </w:rPr>
      </w:pPr>
      <w:r w:rsidRPr="004F64A8">
        <w:rPr>
          <w:rFonts w:cs="Arial"/>
          <w:szCs w:val="24"/>
        </w:rPr>
        <w:drawing>
          <wp:anchor distT="0" distB="0" distL="114300" distR="114300" simplePos="0" relativeHeight="251655680" behindDoc="0" locked="0" layoutInCell="1" allowOverlap="1" wp14:anchorId="1A1F3261" wp14:editId="164D6B47">
            <wp:simplePos x="0" y="0"/>
            <wp:positionH relativeFrom="column">
              <wp:posOffset>3584575</wp:posOffset>
            </wp:positionH>
            <wp:positionV relativeFrom="paragraph">
              <wp:posOffset>200660</wp:posOffset>
            </wp:positionV>
            <wp:extent cx="2828925" cy="714375"/>
            <wp:effectExtent l="19050" t="1905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68" w:rsidRPr="00D373DC">
        <w:rPr>
          <w:rFonts w:cs="Arial"/>
          <w:b/>
          <w:bCs/>
          <w:szCs w:val="24"/>
        </w:rPr>
        <w:t>2.1. Calculer la valeur de l’énergie d’un photon de longueur d’onde 10 cm, en Joule, puis en électronvolt (eV)</w:t>
      </w:r>
      <w:r w:rsidR="00D373DC">
        <w:rPr>
          <w:rFonts w:cs="Arial"/>
          <w:b/>
          <w:bCs/>
          <w:szCs w:val="24"/>
        </w:rPr>
        <w:t>.</w:t>
      </w:r>
    </w:p>
    <w:p w14:paraId="001B1DB7" w14:textId="07F98773" w:rsidR="004F64A8" w:rsidRPr="004F64A8" w:rsidRDefault="005F0868">
      <w:pPr>
        <w:rPr>
          <w:rFonts w:cs="Arial"/>
          <w:szCs w:val="24"/>
        </w:rPr>
      </w:pPr>
      <w:r w:rsidRPr="00D373DC">
        <w:rPr>
          <w:rFonts w:cs="Arial"/>
          <w:szCs w:val="24"/>
        </w:rPr>
        <w:t>On sait que</w:t>
      </w:r>
      <w:r w:rsidR="004F64A8">
        <w:rPr>
          <w:rFonts w:cs="Arial"/>
          <w:szCs w:val="24"/>
        </w:rPr>
        <w:t xml:space="preserve"> </w:t>
      </w:r>
      <w:proofErr w:type="spellStart"/>
      <w:r w:rsidR="004F64A8" w:rsidRPr="004F64A8">
        <w:rPr>
          <w:rFonts w:cs="Arial"/>
          <w:i/>
          <w:iCs/>
          <w:szCs w:val="24"/>
        </w:rPr>
        <w:t>E</w:t>
      </w:r>
      <w:r w:rsidR="004F64A8">
        <w:rPr>
          <w:rFonts w:cs="Arial"/>
          <w:i/>
          <w:iCs/>
          <w:szCs w:val="24"/>
          <w:vertAlign w:val="subscript"/>
        </w:rPr>
        <w:t>photon</w:t>
      </w:r>
      <w:proofErr w:type="spellEnd"/>
      <w:r w:rsidR="004F64A8">
        <w:rPr>
          <w:rFonts w:cs="Arial"/>
          <w:i/>
          <w:iCs/>
          <w:szCs w:val="24"/>
        </w:rPr>
        <w:t xml:space="preserve"> </w:t>
      </w:r>
      <w:r w:rsidR="004F64A8" w:rsidRPr="004F64A8">
        <w:rPr>
          <w:rFonts w:cs="Arial"/>
          <w:szCs w:val="24"/>
        </w:rPr>
        <w:t xml:space="preserve">= </w:t>
      </w:r>
      <w:proofErr w:type="spellStart"/>
      <w:r w:rsidR="004F64A8" w:rsidRPr="004F64A8">
        <w:rPr>
          <w:rFonts w:cs="Arial"/>
          <w:i/>
          <w:iCs/>
          <w:szCs w:val="24"/>
        </w:rPr>
        <w:t>h.</w:t>
      </w:r>
      <w:r w:rsidR="004F64A8" w:rsidRPr="004F64A8">
        <w:rPr>
          <w:rFonts w:ascii="Times New Roman" w:hAnsi="Times New Roman" w:cs="Times New Roman"/>
          <w:i/>
          <w:iCs/>
          <w:szCs w:val="24"/>
        </w:rPr>
        <w:t>ν</w:t>
      </w:r>
      <w:proofErr w:type="spellEnd"/>
    </w:p>
    <w:p w14:paraId="4AE190D0" w14:textId="5F50C031" w:rsidR="004F64A8" w:rsidRPr="002506C2" w:rsidRDefault="004F64A8">
      <w:pPr>
        <w:rPr>
          <w:rFonts w:cs="Arial"/>
          <w:szCs w:val="24"/>
        </w:rPr>
      </w:pPr>
      <w:proofErr w:type="spellStart"/>
      <w:r w:rsidRPr="004F64A8">
        <w:rPr>
          <w:rFonts w:cs="Arial"/>
          <w:i/>
          <w:iCs/>
          <w:szCs w:val="24"/>
        </w:rPr>
        <w:t>E</w:t>
      </w:r>
      <w:r>
        <w:rPr>
          <w:rFonts w:cs="Arial"/>
          <w:i/>
          <w:iCs/>
          <w:szCs w:val="24"/>
          <w:vertAlign w:val="subscript"/>
        </w:rPr>
        <w:t>photon</w:t>
      </w:r>
      <w:proofErr w:type="spellEnd"/>
      <w:r>
        <w:rPr>
          <w:rFonts w:cs="Arial"/>
          <w:i/>
          <w:iCs/>
          <w:szCs w:val="24"/>
        </w:rPr>
        <w:t xml:space="preserve"> </w:t>
      </w:r>
      <w:r w:rsidRPr="004F64A8">
        <w:rPr>
          <w:rFonts w:cs="Arial"/>
          <w:szCs w:val="24"/>
        </w:rPr>
        <w:t>=</w:t>
      </w:r>
      <w:r>
        <w:rPr>
          <w:rFonts w:cs="Arial"/>
          <w:szCs w:val="24"/>
        </w:rPr>
        <w:t xml:space="preserve"> 6,63×10</w:t>
      </w:r>
      <w:r>
        <w:rPr>
          <w:rFonts w:cs="Arial"/>
          <w:szCs w:val="24"/>
          <w:vertAlign w:val="superscript"/>
        </w:rPr>
        <w:t>–34</w:t>
      </w:r>
      <w:r>
        <w:rPr>
          <w:rFonts w:cs="Arial"/>
          <w:szCs w:val="24"/>
        </w:rPr>
        <w:t xml:space="preserve"> × 3,0×10</w:t>
      </w:r>
      <w:r>
        <w:rPr>
          <w:rFonts w:cs="Arial"/>
          <w:szCs w:val="24"/>
          <w:vertAlign w:val="superscript"/>
        </w:rPr>
        <w:t>9</w:t>
      </w:r>
      <w:r>
        <w:rPr>
          <w:rFonts w:cs="Arial"/>
          <w:szCs w:val="24"/>
        </w:rPr>
        <w:t xml:space="preserve"> = </w:t>
      </w:r>
      <w:r w:rsidR="002506C2">
        <w:rPr>
          <w:rFonts w:cs="Arial"/>
          <w:szCs w:val="24"/>
        </w:rPr>
        <w:t>2,0×10</w:t>
      </w:r>
      <w:r w:rsidR="002506C2">
        <w:rPr>
          <w:rFonts w:cs="Arial"/>
          <w:szCs w:val="24"/>
          <w:vertAlign w:val="superscript"/>
        </w:rPr>
        <w:t>–24</w:t>
      </w:r>
      <w:r w:rsidR="002506C2">
        <w:rPr>
          <w:rFonts w:cs="Arial"/>
          <w:szCs w:val="24"/>
        </w:rPr>
        <w:t xml:space="preserve"> J</w:t>
      </w:r>
    </w:p>
    <w:p w14:paraId="29EFB850" w14:textId="77777777" w:rsidR="002506C2" w:rsidRDefault="005F0868">
      <w:pPr>
        <w:rPr>
          <w:rFonts w:cs="Arial"/>
          <w:szCs w:val="24"/>
        </w:rPr>
      </w:pPr>
      <w:r w:rsidRPr="00D373DC">
        <w:rPr>
          <w:rFonts w:cs="Arial"/>
          <w:szCs w:val="24"/>
        </w:rPr>
        <w:t xml:space="preserve">Comme </w:t>
      </w:r>
      <w:r w:rsidR="004F64A8">
        <w:rPr>
          <w:rFonts w:cs="Arial"/>
          <w:szCs w:val="24"/>
        </w:rPr>
        <w:t>1 eV = 1,6×</w:t>
      </w:r>
      <w:r w:rsidR="004F64A8" w:rsidRPr="002506C2">
        <w:rPr>
          <w:rFonts w:cs="Arial"/>
          <w:szCs w:val="24"/>
        </w:rPr>
        <w:t>10</w:t>
      </w:r>
      <w:r w:rsidR="004F64A8" w:rsidRPr="002506C2">
        <w:rPr>
          <w:rFonts w:cs="Arial"/>
          <w:szCs w:val="24"/>
          <w:vertAlign w:val="superscript"/>
        </w:rPr>
        <w:t>–19</w:t>
      </w:r>
      <w:r w:rsidR="004F64A8">
        <w:rPr>
          <w:rFonts w:cs="Arial"/>
          <w:szCs w:val="24"/>
        </w:rPr>
        <w:t xml:space="preserve"> J, </w:t>
      </w:r>
    </w:p>
    <w:p w14:paraId="4C8A553C" w14:textId="3445F5E2" w:rsidR="007F1B1C" w:rsidRPr="002506C2" w:rsidRDefault="005F0868">
      <w:pPr>
        <w:rPr>
          <w:rFonts w:cs="Arial"/>
          <w:szCs w:val="24"/>
        </w:rPr>
      </w:pPr>
      <w:proofErr w:type="gramStart"/>
      <w:r w:rsidRPr="00D373DC">
        <w:rPr>
          <w:rFonts w:cs="Arial"/>
          <w:szCs w:val="24"/>
        </w:rPr>
        <w:t>on</w:t>
      </w:r>
      <w:proofErr w:type="gramEnd"/>
      <w:r w:rsidRPr="00D373DC">
        <w:rPr>
          <w:rFonts w:cs="Arial"/>
          <w:szCs w:val="24"/>
        </w:rPr>
        <w:t xml:space="preserve"> a finalement </w:t>
      </w:r>
      <w:bookmarkStart w:id="0" w:name="_Hlk43273365"/>
      <w:proofErr w:type="spellStart"/>
      <w:r w:rsidR="002506C2">
        <w:rPr>
          <w:rFonts w:cs="Arial"/>
          <w:i/>
          <w:iCs/>
          <w:szCs w:val="24"/>
        </w:rPr>
        <w:t>E</w:t>
      </w:r>
      <w:bookmarkEnd w:id="0"/>
      <w:r w:rsidR="002506C2">
        <w:rPr>
          <w:rFonts w:cs="Arial"/>
          <w:i/>
          <w:iCs/>
          <w:szCs w:val="24"/>
          <w:vertAlign w:val="subscript"/>
        </w:rPr>
        <w:t>photon</w:t>
      </w:r>
      <w:proofErr w:type="spellEnd"/>
      <w:r w:rsidR="002506C2">
        <w:rPr>
          <w:rFonts w:cs="Arial"/>
          <w:szCs w:val="24"/>
        </w:rPr>
        <w:t xml:space="preserve"> = </w:t>
      </w:r>
      <w:r w:rsidR="002506C2" w:rsidRPr="002506C2">
        <w:rPr>
          <w:rFonts w:cs="Arial"/>
          <w:position w:val="-28"/>
          <w:szCs w:val="24"/>
        </w:rPr>
        <w:object w:dxaOrig="1380" w:dyaOrig="700" w14:anchorId="72F926B7">
          <v:shape id="_x0000_i1047" type="#_x0000_t75" style="width:69pt;height:35.25pt" o:ole="">
            <v:imagedata r:id="rId15" o:title=""/>
          </v:shape>
          <o:OLEObject Type="Embed" ProgID="Equation.DSMT4" ShapeID="_x0000_i1047" DrawAspect="Content" ObjectID="_1653887368" r:id="rId16"/>
        </w:object>
      </w:r>
      <w:r w:rsidR="002506C2">
        <w:rPr>
          <w:rFonts w:cs="Arial"/>
          <w:szCs w:val="24"/>
        </w:rPr>
        <w:t xml:space="preserve"> = </w:t>
      </w:r>
      <w:r w:rsidR="002506C2" w:rsidRPr="002506C2">
        <w:rPr>
          <w:rFonts w:cs="Arial"/>
          <w:b/>
          <w:bCs/>
          <w:szCs w:val="24"/>
        </w:rPr>
        <w:t>1,24×10</w:t>
      </w:r>
      <w:r w:rsidR="002506C2" w:rsidRPr="002506C2">
        <w:rPr>
          <w:rFonts w:cs="Arial"/>
          <w:b/>
          <w:bCs/>
          <w:szCs w:val="24"/>
          <w:vertAlign w:val="superscript"/>
        </w:rPr>
        <w:t>–5</w:t>
      </w:r>
      <w:r w:rsidR="002506C2" w:rsidRPr="002506C2">
        <w:rPr>
          <w:rFonts w:cs="Arial"/>
          <w:b/>
          <w:bCs/>
          <w:szCs w:val="24"/>
        </w:rPr>
        <w:t xml:space="preserve"> eV</w:t>
      </w:r>
    </w:p>
    <w:p w14:paraId="71F4A9DF" w14:textId="77777777" w:rsidR="007F1B1C" w:rsidRDefault="007F1B1C"/>
    <w:p w14:paraId="5225D05D" w14:textId="4147B316" w:rsidR="007F1B1C" w:rsidRDefault="005F0868">
      <w:pPr>
        <w:rPr>
          <w:b/>
          <w:bCs/>
        </w:rPr>
      </w:pPr>
      <w:r>
        <w:rPr>
          <w:b/>
          <w:bCs/>
        </w:rPr>
        <w:t>2.2. Pourquoi le télescope TCFH ne peut-il pas capter ce photon ? Justifier votre réponse</w:t>
      </w:r>
      <w:r w:rsidR="00CC2BE6">
        <w:rPr>
          <w:b/>
          <w:bCs/>
        </w:rPr>
        <w:t>.</w:t>
      </w:r>
    </w:p>
    <w:p w14:paraId="08D656B7" w14:textId="79A06EDB" w:rsidR="007F1B1C" w:rsidRDefault="005F0868" w:rsidP="00CC2BE6">
      <w:pPr>
        <w:jc w:val="both"/>
      </w:pPr>
      <w:r>
        <w:t>Le TCFH est un tél</w:t>
      </w:r>
      <w:r w:rsidR="00CC2BE6">
        <w:t>e</w:t>
      </w:r>
      <w:r>
        <w:t xml:space="preserve">scope optique, qui est sensible à des photons dont la longueur d’onde </w:t>
      </w:r>
      <w:r>
        <w:t>est proche de la lumière visible (soit un ordre de grandeur de 10</w:t>
      </w:r>
      <w:r w:rsidR="00CC2BE6">
        <w:rPr>
          <w:vertAlign w:val="superscript"/>
        </w:rPr>
        <w:t>–</w:t>
      </w:r>
      <w:r>
        <w:rPr>
          <w:vertAlign w:val="superscript"/>
        </w:rPr>
        <w:t>6</w:t>
      </w:r>
      <w:r>
        <w:t>m). Un photon de 10</w:t>
      </w:r>
      <w:r w:rsidR="00CC2BE6">
        <w:t> </w:t>
      </w:r>
      <w:r>
        <w:t>cm de longueur d’onde (ordre de grandeur 10</w:t>
      </w:r>
      <w:r w:rsidR="00CC2BE6">
        <w:rPr>
          <w:vertAlign w:val="superscript"/>
        </w:rPr>
        <w:t>–</w:t>
      </w:r>
      <w:r>
        <w:rPr>
          <w:vertAlign w:val="superscript"/>
        </w:rPr>
        <w:t>1</w:t>
      </w:r>
      <w:r>
        <w:t>m) est bien trop éloigné de la longueur de la lumière visible pour pouvoir être capté par un télescope optique.</w:t>
      </w:r>
    </w:p>
    <w:p w14:paraId="21C94EF9" w14:textId="7D0E4E00" w:rsidR="00CC2BE6" w:rsidRDefault="00CC2BE6">
      <w:r>
        <w:br w:type="page"/>
      </w:r>
    </w:p>
    <w:p w14:paraId="4EF236D0" w14:textId="5B3E876E" w:rsidR="00CC2BE6" w:rsidRPr="007A2432" w:rsidRDefault="00CC2BE6" w:rsidP="00CC2BE6">
      <w:pPr>
        <w:jc w:val="both"/>
        <w:rPr>
          <w:rFonts w:eastAsia="Arial" w:cs="Arial"/>
          <w:b/>
          <w:lang w:eastAsia="en-US"/>
        </w:rPr>
      </w:pPr>
      <w:r w:rsidRPr="007A2432">
        <w:rPr>
          <w:rFonts w:eastAsia="Arial" w:cs="Arial"/>
          <w:b/>
          <w:lang w:eastAsia="en-US"/>
        </w:rPr>
        <w:lastRenderedPageBreak/>
        <w:t>Partie 3 : la mesure de la vitesse de rotation des galaxies à partir des photons émis par l’hydrogène</w:t>
      </w:r>
    </w:p>
    <w:p w14:paraId="28D35861" w14:textId="77777777" w:rsidR="007F1B1C" w:rsidRDefault="007F1B1C"/>
    <w:p w14:paraId="42E76B8B" w14:textId="35B85CB9" w:rsidR="007F1B1C" w:rsidRDefault="005F0868">
      <w:pPr>
        <w:rPr>
          <w:b/>
          <w:bCs/>
        </w:rPr>
      </w:pPr>
      <w:r>
        <w:rPr>
          <w:b/>
          <w:bCs/>
        </w:rPr>
        <w:t xml:space="preserve">3.1. Quelle </w:t>
      </w:r>
      <w:r>
        <w:rPr>
          <w:b/>
          <w:bCs/>
        </w:rPr>
        <w:t>est la valeur de la longueur d’onde du photon émis ?</w:t>
      </w:r>
    </w:p>
    <w:p w14:paraId="4315791B" w14:textId="1F7B4AC8" w:rsidR="007F1B1C" w:rsidRDefault="00CC2BE6">
      <w:pPr>
        <w:rPr>
          <w:noProof/>
        </w:rPr>
      </w:pPr>
      <w:r>
        <w:t>Le photon porte une énergie de</w:t>
      </w:r>
      <w:r>
        <w:rPr>
          <w:noProof/>
        </w:rPr>
        <w:t xml:space="preserve"> </w:t>
      </w:r>
      <w:r w:rsidR="00FD729A">
        <w:rPr>
          <w:rFonts w:ascii="Times New Roman" w:hAnsi="Times New Roman" w:cs="Times New Roman"/>
          <w:noProof/>
        </w:rPr>
        <w:t>Δ</w:t>
      </w:r>
      <w:r w:rsidR="005F0868">
        <w:rPr>
          <w:noProof/>
        </w:rPr>
        <w:drawing>
          <wp:anchor distT="0" distB="0" distL="0" distR="107950" simplePos="0" relativeHeight="251652608" behindDoc="0" locked="0" layoutInCell="1" allowOverlap="1" wp14:anchorId="50DD9EFD" wp14:editId="6129415A">
            <wp:simplePos x="0" y="0"/>
            <wp:positionH relativeFrom="column">
              <wp:posOffset>-4445</wp:posOffset>
            </wp:positionH>
            <wp:positionV relativeFrom="paragraph">
              <wp:posOffset>82550</wp:posOffset>
            </wp:positionV>
            <wp:extent cx="1504950" cy="23234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noProof/>
        </w:rPr>
        <w:t>E</w:t>
      </w:r>
      <w:r>
        <w:rPr>
          <w:noProof/>
        </w:rPr>
        <w:t xml:space="preserve"> = </w:t>
      </w:r>
      <w:r w:rsidRPr="00CC2BE6">
        <w:rPr>
          <w:i/>
          <w:iCs/>
          <w:noProof/>
        </w:rPr>
        <w:t>E</w:t>
      </w:r>
      <w:r w:rsidRPr="00CC2BE6">
        <w:rPr>
          <w:noProof/>
          <w:vertAlign w:val="subscript"/>
        </w:rPr>
        <w:t>3</w:t>
      </w:r>
      <w:r>
        <w:rPr>
          <w:noProof/>
          <w:vertAlign w:val="subscript"/>
        </w:rPr>
        <w:t xml:space="preserve"> – </w:t>
      </w:r>
      <w:r w:rsidRPr="00CC2BE6">
        <w:rPr>
          <w:i/>
          <w:iCs/>
          <w:noProof/>
        </w:rPr>
        <w:t>E</w:t>
      </w:r>
      <w:r w:rsidRPr="00CC2BE6">
        <w:rPr>
          <w:noProof/>
          <w:vertAlign w:val="subscript"/>
        </w:rPr>
        <w:t>2</w:t>
      </w:r>
      <w:r>
        <w:rPr>
          <w:noProof/>
        </w:rPr>
        <w:t>.</w:t>
      </w:r>
    </w:p>
    <w:p w14:paraId="67A8ED1D" w14:textId="13688611" w:rsidR="00CC2BE6" w:rsidRDefault="005F0868">
      <w:r>
        <w:t xml:space="preserve">Le schéma nous indique que </w:t>
      </w:r>
      <w:r w:rsidR="00FD729A">
        <w:rPr>
          <w:rFonts w:ascii="Times New Roman" w:hAnsi="Times New Roman" w:cs="Times New Roman"/>
          <w:noProof/>
        </w:rPr>
        <w:t>Δ</w:t>
      </w:r>
      <w:r w:rsidR="00CC2BE6">
        <w:rPr>
          <w:i/>
          <w:iCs/>
        </w:rPr>
        <w:t>E</w:t>
      </w:r>
      <w:r w:rsidR="00CC2BE6">
        <w:t xml:space="preserve"> = –1,51 – (–3,39) = 1,88 eV.</w:t>
      </w:r>
    </w:p>
    <w:p w14:paraId="086595BD" w14:textId="40992F9A" w:rsidR="00CC2BE6" w:rsidRDefault="00CC2BE6">
      <w:r>
        <w:t xml:space="preserve">On convertit cette énergie en J, </w:t>
      </w:r>
      <w:r>
        <w:rPr>
          <w:i/>
          <w:iCs/>
        </w:rPr>
        <w:t>E</w:t>
      </w:r>
      <w:r>
        <w:t xml:space="preserve"> = 1,88×1,6×10</w:t>
      </w:r>
      <w:r w:rsidRPr="00CC2BE6">
        <w:rPr>
          <w:vertAlign w:val="superscript"/>
        </w:rPr>
        <w:t>–19</w:t>
      </w:r>
      <w:r>
        <w:t xml:space="preserve"> </w:t>
      </w:r>
      <w:r w:rsidR="00FD729A">
        <w:t>J</w:t>
      </w:r>
    </w:p>
    <w:p w14:paraId="373FF673" w14:textId="2524BECB" w:rsidR="00CC2BE6" w:rsidRDefault="00CC2BE6">
      <w:r>
        <w:t xml:space="preserve">Comme </w:t>
      </w:r>
      <w:r w:rsidR="00FD729A" w:rsidRPr="00FD729A">
        <w:rPr>
          <w:position w:val="-24"/>
        </w:rPr>
        <w:object w:dxaOrig="999" w:dyaOrig="620" w14:anchorId="2D71B2F5">
          <v:shape id="_x0000_i1074" type="#_x0000_t75" style="width:50.25pt;height:30.75pt" o:ole="">
            <v:imagedata r:id="rId18" o:title=""/>
          </v:shape>
          <o:OLEObject Type="Embed" ProgID="Equation.DSMT4" ShapeID="_x0000_i1074" DrawAspect="Content" ObjectID="_1653887369" r:id="rId19"/>
        </w:object>
      </w:r>
      <w:r>
        <w:t xml:space="preserve"> </w:t>
      </w:r>
      <w:r w:rsidR="00FD729A">
        <w:t xml:space="preserve">alors </w:t>
      </w:r>
      <w:r w:rsidR="00FD729A" w:rsidRPr="00FD729A">
        <w:rPr>
          <w:position w:val="-24"/>
        </w:rPr>
        <w:object w:dxaOrig="840" w:dyaOrig="620" w14:anchorId="11FBFBDB">
          <v:shape id="_x0000_i1076" type="#_x0000_t75" style="width:42pt;height:30.75pt" o:ole="">
            <v:imagedata r:id="rId20" o:title=""/>
          </v:shape>
          <o:OLEObject Type="Embed" ProgID="Equation.DSMT4" ShapeID="_x0000_i1076" DrawAspect="Content" ObjectID="_1653887370" r:id="rId21"/>
        </w:object>
      </w:r>
      <w:r w:rsidR="00FD729A">
        <w:t>.</w:t>
      </w:r>
    </w:p>
    <w:p w14:paraId="16F531D5" w14:textId="7CCA0663" w:rsidR="00FD729A" w:rsidRPr="00FD729A" w:rsidRDefault="00FD729A">
      <w:r w:rsidRPr="00FD729A">
        <w:drawing>
          <wp:anchor distT="0" distB="0" distL="114300" distR="114300" simplePos="0" relativeHeight="251659776" behindDoc="0" locked="0" layoutInCell="1" allowOverlap="1" wp14:anchorId="4594BD93" wp14:editId="59342371">
            <wp:simplePos x="0" y="0"/>
            <wp:positionH relativeFrom="column">
              <wp:posOffset>2204720</wp:posOffset>
            </wp:positionH>
            <wp:positionV relativeFrom="paragraph">
              <wp:posOffset>297180</wp:posOffset>
            </wp:positionV>
            <wp:extent cx="2809875" cy="495300"/>
            <wp:effectExtent l="19050" t="1905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95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29A">
        <w:rPr>
          <w:position w:val="-28"/>
        </w:rPr>
        <w:object w:dxaOrig="2780" w:dyaOrig="700" w14:anchorId="5ED9B34B">
          <v:shape id="_x0000_i1060" type="#_x0000_t75" style="width:138.75pt;height:35.25pt" o:ole="">
            <v:imagedata r:id="rId23" o:title=""/>
          </v:shape>
          <o:OLEObject Type="Embed" ProgID="Equation.DSMT4" ShapeID="_x0000_i1060" DrawAspect="Content" ObjectID="_1653887371" r:id="rId24"/>
        </w:object>
      </w:r>
      <w:r>
        <w:t>= 6,6×10</w:t>
      </w:r>
      <w:r>
        <w:rPr>
          <w:vertAlign w:val="superscript"/>
        </w:rPr>
        <w:t>–7</w:t>
      </w:r>
      <w:r>
        <w:t xml:space="preserve"> m</w:t>
      </w:r>
    </w:p>
    <w:p w14:paraId="3DFF54EB" w14:textId="675D7E2B" w:rsidR="007F1B1C" w:rsidRPr="00FD729A" w:rsidRDefault="00CC2BE6" w:rsidP="00FD729A">
      <w:pPr>
        <w:rPr>
          <w:rFonts w:cs="Arial"/>
          <w:i/>
          <w:iCs/>
        </w:rPr>
      </w:pPr>
      <w:r>
        <w:t xml:space="preserve"> </w:t>
      </w:r>
      <w:proofErr w:type="gramStart"/>
      <w:r w:rsidR="00FD729A" w:rsidRPr="00FD729A">
        <w:rPr>
          <w:rFonts w:cs="Arial"/>
          <w:i/>
          <w:iCs/>
        </w:rPr>
        <w:t>λ</w:t>
      </w:r>
      <w:proofErr w:type="gramEnd"/>
      <w:r w:rsidR="00FD729A">
        <w:rPr>
          <w:rFonts w:cs="Arial"/>
        </w:rPr>
        <w:t xml:space="preserve"> = 661 nm</w:t>
      </w:r>
      <w:r w:rsidR="00FD729A" w:rsidRPr="00FD729A">
        <w:rPr>
          <w:rFonts w:cs="Arial"/>
          <w:i/>
          <w:iCs/>
        </w:rPr>
        <w:t xml:space="preserve"> </w:t>
      </w:r>
    </w:p>
    <w:p w14:paraId="07699789" w14:textId="1BD89758" w:rsidR="007F1B1C" w:rsidRDefault="007F1B1C"/>
    <w:p w14:paraId="5F32C915" w14:textId="3A591AB9" w:rsidR="005F0868" w:rsidRDefault="005F0868"/>
    <w:p w14:paraId="0762FADC" w14:textId="7B3E809E" w:rsidR="005F0868" w:rsidRDefault="005F0868"/>
    <w:p w14:paraId="27D91E2B" w14:textId="4F671955" w:rsidR="005F0868" w:rsidRDefault="005F0868"/>
    <w:p w14:paraId="4143B72F" w14:textId="77777777" w:rsidR="005F0868" w:rsidRPr="00F81767" w:rsidRDefault="005F0868"/>
    <w:p w14:paraId="78E72647" w14:textId="77777777" w:rsidR="007F1B1C" w:rsidRDefault="005F0868" w:rsidP="00FD729A">
      <w:pPr>
        <w:jc w:val="both"/>
        <w:rPr>
          <w:b/>
          <w:bCs/>
        </w:rPr>
      </w:pPr>
      <w:r>
        <w:rPr>
          <w:b/>
          <w:bCs/>
        </w:rPr>
        <w:t xml:space="preserve">3.2. À </w:t>
      </w:r>
      <w:r>
        <w:rPr>
          <w:b/>
          <w:bCs/>
        </w:rPr>
        <w:t>quel domaine du spectre électromagnétique appartient cette longueur d’onde ? Justifier</w:t>
      </w:r>
    </w:p>
    <w:p w14:paraId="618F0BF0" w14:textId="7969D34E" w:rsidR="007F1B1C" w:rsidRDefault="005F0868">
      <w:r>
        <w:t xml:space="preserve">On a </w:t>
      </w:r>
      <m:oMath>
        <m:r>
          <w:rPr>
            <w:rFonts w:ascii="Cambria Math" w:hAnsi="Cambria Math"/>
          </w:rPr>
          <m:t xml:space="preserve">400 </m:t>
        </m:r>
        <m:r>
          <w:rPr>
            <w:rFonts w:ascii="Cambria Math" w:hAnsi="Cambria Math"/>
          </w:rPr>
          <m:t>nm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λ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80</m:t>
        </m:r>
        <m:r>
          <w:rPr>
            <w:rFonts w:ascii="Cambria Math" w:hAnsi="Cambria Math"/>
          </w:rPr>
          <m:t xml:space="preserve">0 </m:t>
        </m:r>
        <m:r>
          <w:rPr>
            <w:rFonts w:ascii="Cambria Math" w:hAnsi="Cambria Math"/>
          </w:rPr>
          <m:t>nm</m:t>
        </m:r>
      </m:oMath>
      <w:r>
        <w:t>, cette longueur d’onde fait donc partie du domaine visible.</w:t>
      </w:r>
    </w:p>
    <w:p w14:paraId="47C9EE39" w14:textId="77777777" w:rsidR="007F1B1C" w:rsidRDefault="007F1B1C"/>
    <w:p w14:paraId="28C4DA19" w14:textId="77777777" w:rsidR="007F1B1C" w:rsidRDefault="005F0868">
      <w:pPr>
        <w:rPr>
          <w:b/>
          <w:bCs/>
        </w:rPr>
      </w:pPr>
      <w:r>
        <w:rPr>
          <w:b/>
          <w:bCs/>
        </w:rPr>
        <w:t>3.3. Ce photon peut-il être capté par le GBT ? Justifier</w:t>
      </w:r>
    </w:p>
    <w:p w14:paraId="22EFBF4F" w14:textId="2EA23295" w:rsidR="007F1B1C" w:rsidRDefault="005F0868" w:rsidP="00FD729A">
      <w:pPr>
        <w:jc w:val="both"/>
      </w:pPr>
      <w:r>
        <w:t>Ce photon ne peut pas être</w:t>
      </w:r>
      <w:r>
        <w:t xml:space="preserve"> capté par le GBT car le radiotél</w:t>
      </w:r>
      <w:r w:rsidR="00FD729A">
        <w:t>e</w:t>
      </w:r>
      <w:r>
        <w:t>scope ne fonctionne que pour des ondes radio, dont la longueur d’onde minimale est de 1mm, 1000 fois plus grande que la longueur d’onde dont il est question.</w:t>
      </w:r>
    </w:p>
    <w:p w14:paraId="628B0573" w14:textId="77777777" w:rsidR="007F1B1C" w:rsidRDefault="007F1B1C"/>
    <w:p w14:paraId="0A5CFF1F" w14:textId="77777777" w:rsidR="007F1B1C" w:rsidRDefault="005F0868">
      <w:pPr>
        <w:rPr>
          <w:b/>
          <w:bCs/>
        </w:rPr>
      </w:pPr>
      <w:r>
        <w:rPr>
          <w:b/>
          <w:bCs/>
        </w:rPr>
        <w:t>3.4. Calculer la valeur de la variation d’énergie à laquelle co</w:t>
      </w:r>
      <w:r>
        <w:rPr>
          <w:b/>
          <w:bCs/>
        </w:rPr>
        <w:t>rrespond cette émission ?</w:t>
      </w:r>
    </w:p>
    <w:p w14:paraId="2CB402C8" w14:textId="47E5074B" w:rsidR="007F1B1C" w:rsidRDefault="00FD729A">
      <w:r w:rsidRPr="00FD729A">
        <w:drawing>
          <wp:anchor distT="0" distB="0" distL="114300" distR="114300" simplePos="0" relativeHeight="251663872" behindDoc="0" locked="0" layoutInCell="1" allowOverlap="1" wp14:anchorId="6515D0D2" wp14:editId="46B9A8DD">
            <wp:simplePos x="0" y="0"/>
            <wp:positionH relativeFrom="column">
              <wp:posOffset>3651250</wp:posOffset>
            </wp:positionH>
            <wp:positionV relativeFrom="paragraph">
              <wp:posOffset>46355</wp:posOffset>
            </wp:positionV>
            <wp:extent cx="2828925" cy="819150"/>
            <wp:effectExtent l="19050" t="1905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19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a</w:t>
      </w:r>
      <w:r>
        <w:t xml:space="preserve"> </w:t>
      </w:r>
      <w:r w:rsidRPr="00FD729A">
        <w:rPr>
          <w:position w:val="-24"/>
        </w:rPr>
        <w:object w:dxaOrig="999" w:dyaOrig="620" w14:anchorId="00EBDF1F">
          <v:shape id="_x0000_i1077" type="#_x0000_t75" style="width:50.25pt;height:30.75pt" o:ole="">
            <v:imagedata r:id="rId18" o:title=""/>
          </v:shape>
          <o:OLEObject Type="Embed" ProgID="Equation.DSMT4" ShapeID="_x0000_i1077" DrawAspect="Content" ObjectID="_1653887372" r:id="rId26"/>
        </w:object>
      </w:r>
    </w:p>
    <w:p w14:paraId="0BBF96F5" w14:textId="77777777" w:rsidR="00B760A3" w:rsidRDefault="00FD729A">
      <w:r w:rsidRPr="00FD729A">
        <w:rPr>
          <w:position w:val="-24"/>
        </w:rPr>
        <w:object w:dxaOrig="2960" w:dyaOrig="660" w14:anchorId="2C9B6D6F">
          <v:shape id="_x0000_i1081" type="#_x0000_t75" style="width:147.75pt;height:33pt" o:ole="">
            <v:imagedata r:id="rId27" o:title=""/>
          </v:shape>
          <o:OLEObject Type="Embed" ProgID="Equation.DSMT4" ShapeID="_x0000_i1081" DrawAspect="Content" ObjectID="_1653887373" r:id="rId28"/>
        </w:object>
      </w:r>
      <w:r>
        <w:t xml:space="preserve"> = </w:t>
      </w:r>
      <w:r w:rsidR="00B760A3">
        <w:t>9,5×10</w:t>
      </w:r>
      <w:r w:rsidR="00B760A3">
        <w:rPr>
          <w:vertAlign w:val="superscript"/>
        </w:rPr>
        <w:t>–25</w:t>
      </w:r>
      <w:r w:rsidR="00B760A3">
        <w:t xml:space="preserve"> J </w:t>
      </w:r>
    </w:p>
    <w:p w14:paraId="10DB872E" w14:textId="44A47AE3" w:rsidR="007F1B1C" w:rsidRDefault="00B760A3">
      <w:r w:rsidRPr="00B760A3">
        <w:rPr>
          <w:rFonts w:ascii="Times New Roman" w:hAnsi="Times New Roman" w:cs="Times New Roman"/>
        </w:rPr>
        <w:t>Δ</w:t>
      </w:r>
      <w:r w:rsidRPr="00B760A3">
        <w:rPr>
          <w:i/>
          <w:iCs/>
        </w:rPr>
        <w:t>E</w:t>
      </w:r>
      <w:r w:rsidRPr="00B760A3">
        <w:t xml:space="preserve"> =</w:t>
      </w:r>
      <w:r>
        <w:t xml:space="preserve"> 5,9×10</w:t>
      </w:r>
      <w:r>
        <w:rPr>
          <w:vertAlign w:val="superscript"/>
        </w:rPr>
        <w:t>–6</w:t>
      </w:r>
      <w:r>
        <w:t xml:space="preserve"> eV</w:t>
      </w:r>
    </w:p>
    <w:sectPr w:rsidR="007F1B1C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F0994"/>
    <w:multiLevelType w:val="multilevel"/>
    <w:tmpl w:val="47B2C690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B1C"/>
    <w:rsid w:val="00026B45"/>
    <w:rsid w:val="00144BFF"/>
    <w:rsid w:val="002506C2"/>
    <w:rsid w:val="00401AF2"/>
    <w:rsid w:val="004F64A8"/>
    <w:rsid w:val="005F0868"/>
    <w:rsid w:val="006E4C6A"/>
    <w:rsid w:val="00743E0C"/>
    <w:rsid w:val="007C13B5"/>
    <w:rsid w:val="007F1B1C"/>
    <w:rsid w:val="00B760A3"/>
    <w:rsid w:val="00B768F3"/>
    <w:rsid w:val="00BE17EF"/>
    <w:rsid w:val="00BF1B41"/>
    <w:rsid w:val="00CC2BE6"/>
    <w:rsid w:val="00D373DC"/>
    <w:rsid w:val="00F81767"/>
    <w:rsid w:val="00F868CA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602F"/>
  <w15:docId w15:val="{98AE4052-7CC9-4347-8A0C-BDD238AF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0C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rFonts w:ascii="Liberation Sans" w:hAnsi="Liberation Sans"/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743E0C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43E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3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hyperlink" Target="http://labolycee.or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16</cp:revision>
  <dcterms:created xsi:type="dcterms:W3CDTF">2020-06-17T05:38:00Z</dcterms:created>
  <dcterms:modified xsi:type="dcterms:W3CDTF">2020-06-17T06:22:00Z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