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pPr w:leftFromText="141" w:rightFromText="141" w:vertAnchor="text" w:horzAnchor="margin" w:tblpX="181" w:tblpY="122"/>
        <w:tblW w:w="9889" w:type="dxa"/>
        <w:tblLook w:val="04A0" w:firstRow="1" w:lastRow="0" w:firstColumn="1" w:lastColumn="0" w:noHBand="0" w:noVBand="1"/>
      </w:tblPr>
      <w:tblGrid>
        <w:gridCol w:w="9889"/>
      </w:tblGrid>
      <w:tr w:rsidR="0089178E" w14:paraId="4713D40A" w14:textId="77777777" w:rsidTr="007A2432">
        <w:tc>
          <w:tcPr>
            <w:tcW w:w="9889" w:type="dxa"/>
          </w:tcPr>
          <w:p w14:paraId="69F069B2" w14:textId="70C1A6F7" w:rsidR="0089178E" w:rsidRDefault="0089178E" w:rsidP="007A2432">
            <w:pPr>
              <w:spacing w:line="240" w:lineRule="auto"/>
              <w:ind w:left="0"/>
              <w:jc w:val="center"/>
              <w:rPr>
                <w:rFonts w:eastAsia="Times New Roman"/>
                <w:b/>
                <w:color w:val="595959" w:themeColor="text1" w:themeTint="A6"/>
                <w:sz w:val="28"/>
                <w:szCs w:val="22"/>
              </w:rPr>
            </w:pPr>
            <w:r w:rsidRPr="00E51FB5">
              <w:rPr>
                <w:rFonts w:eastAsia="Times New Roman"/>
                <w:b/>
                <w:szCs w:val="22"/>
              </w:rPr>
              <w:t>ÉPREUVES COMMUNES DE CONTRÔLE CONTINU</w:t>
            </w:r>
            <w:r w:rsidR="003227D5">
              <w:rPr>
                <w:rFonts w:eastAsia="Times New Roman"/>
                <w:b/>
                <w:szCs w:val="22"/>
              </w:rPr>
              <w:tab/>
              <w:t>2020</w:t>
            </w:r>
            <w:r w:rsidR="003227D5">
              <w:rPr>
                <w:rFonts w:eastAsia="Times New Roman"/>
                <w:b/>
                <w:szCs w:val="22"/>
              </w:rPr>
              <w:br/>
            </w:r>
            <w:hyperlink r:id="rId7" w:history="1">
              <w:r w:rsidR="003227D5" w:rsidRPr="00D53A3D">
                <w:rPr>
                  <w:rStyle w:val="Lienhypertexte"/>
                  <w:rFonts w:eastAsia="Times New Roman"/>
                  <w:b/>
                  <w:szCs w:val="22"/>
                </w:rPr>
                <w:t>http://labolycee.org</w:t>
              </w:r>
            </w:hyperlink>
            <w:r w:rsidR="003227D5">
              <w:rPr>
                <w:rFonts w:eastAsia="Times New Roman"/>
                <w:b/>
                <w:color w:val="595959" w:themeColor="text1" w:themeTint="A6"/>
                <w:szCs w:val="22"/>
              </w:rPr>
              <w:t xml:space="preserve"> </w:t>
            </w:r>
          </w:p>
        </w:tc>
      </w:tr>
      <w:tr w:rsidR="0089178E" w14:paraId="129B2E26" w14:textId="77777777" w:rsidTr="007A2432">
        <w:tc>
          <w:tcPr>
            <w:tcW w:w="9889" w:type="dxa"/>
          </w:tcPr>
          <w:p w14:paraId="2EF13902" w14:textId="6B4AC734" w:rsidR="0089178E" w:rsidRPr="00893F38" w:rsidRDefault="0089178E" w:rsidP="007A2432">
            <w:pPr>
              <w:spacing w:line="240" w:lineRule="auto"/>
              <w:ind w:left="0"/>
              <w:rPr>
                <w:rFonts w:eastAsia="Times New Roman"/>
                <w:b/>
                <w:color w:val="000000" w:themeColor="text1"/>
                <w:sz w:val="20"/>
                <w:szCs w:val="22"/>
              </w:rPr>
            </w:pPr>
            <w:r w:rsidRPr="00626E0F">
              <w:rPr>
                <w:rFonts w:eastAsia="Times New Roman"/>
                <w:b/>
                <w:color w:val="000000" w:themeColor="text1"/>
                <w:sz w:val="20"/>
                <w:szCs w:val="22"/>
              </w:rPr>
              <w:t>CLASSE :</w:t>
            </w:r>
            <w:r w:rsidRPr="00626E0F">
              <w:rPr>
                <w:rFonts w:eastAsia="Times New Roman"/>
                <w:color w:val="000000" w:themeColor="text1"/>
                <w:sz w:val="20"/>
                <w:szCs w:val="22"/>
              </w:rPr>
              <w:t xml:space="preserve"> Première</w:t>
            </w:r>
            <w:r w:rsidR="003227D5">
              <w:rPr>
                <w:rFonts w:eastAsia="Times New Roman"/>
                <w:color w:val="000000" w:themeColor="text1"/>
                <w:sz w:val="20"/>
                <w:szCs w:val="22"/>
              </w:rPr>
              <w:tab/>
            </w:r>
            <w:r w:rsidR="003227D5">
              <w:rPr>
                <w:rFonts w:eastAsia="Times New Roman"/>
                <w:color w:val="000000" w:themeColor="text1"/>
                <w:sz w:val="20"/>
                <w:szCs w:val="22"/>
              </w:rPr>
              <w:tab/>
            </w:r>
            <w:r w:rsidR="003227D5">
              <w:rPr>
                <w:rFonts w:eastAsia="Times New Roman"/>
                <w:color w:val="000000" w:themeColor="text1"/>
                <w:sz w:val="20"/>
                <w:szCs w:val="22"/>
              </w:rPr>
              <w:tab/>
            </w:r>
            <w:r w:rsidRPr="00893F38">
              <w:rPr>
                <w:rFonts w:eastAsia="Times New Roman"/>
                <w:b/>
                <w:color w:val="000000" w:themeColor="text1"/>
                <w:sz w:val="20"/>
                <w:szCs w:val="22"/>
              </w:rPr>
              <w:t>E3C</w:t>
            </w:r>
            <w:r>
              <w:rPr>
                <w:rFonts w:eastAsia="Times New Roman"/>
                <w:b/>
                <w:color w:val="000000" w:themeColor="text1"/>
                <w:sz w:val="20"/>
                <w:szCs w:val="22"/>
              </w:rPr>
              <w:t xml:space="preserve"> : </w:t>
            </w:r>
            <w:sdt>
              <w:sdtPr>
                <w:rPr>
                  <w:rFonts w:eastAsia="Times New Roman"/>
                  <w:color w:val="000000" w:themeColor="text1"/>
                  <w:sz w:val="20"/>
                  <w:szCs w:val="22"/>
                </w:rPr>
                <w:id w:val="199028399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w:t>
            </w:r>
            <w:r>
              <w:rPr>
                <w:rFonts w:eastAsia="Times New Roman"/>
                <w:color w:val="000000" w:themeColor="text1"/>
                <w:sz w:val="20"/>
                <w:szCs w:val="22"/>
              </w:rPr>
              <w:t>E3C1</w:t>
            </w:r>
            <w:r w:rsidRPr="00626E0F">
              <w:rPr>
                <w:rFonts w:eastAsia="Times New Roman"/>
                <w:color w:val="000000" w:themeColor="text1"/>
                <w:sz w:val="20"/>
                <w:szCs w:val="22"/>
              </w:rPr>
              <w:t xml:space="preserve"> </w:t>
            </w:r>
            <w:sdt>
              <w:sdtPr>
                <w:rPr>
                  <w:rFonts w:eastAsia="Times New Roman"/>
                  <w:color w:val="000000" w:themeColor="text1"/>
                  <w:sz w:val="20"/>
                  <w:szCs w:val="22"/>
                </w:rPr>
                <w:id w:val="1774132376"/>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Pr>
                <w:rFonts w:eastAsia="Times New Roman"/>
                <w:color w:val="000000" w:themeColor="text1"/>
                <w:sz w:val="20"/>
                <w:szCs w:val="22"/>
              </w:rPr>
              <w:t xml:space="preserve"> E3C2</w:t>
            </w:r>
            <w:r w:rsidRPr="00626E0F">
              <w:rPr>
                <w:rFonts w:eastAsia="Times New Roman"/>
                <w:color w:val="000000" w:themeColor="text1"/>
                <w:sz w:val="20"/>
                <w:szCs w:val="22"/>
              </w:rPr>
              <w:t xml:space="preserve"> </w:t>
            </w:r>
            <w:sdt>
              <w:sdtPr>
                <w:rPr>
                  <w:rFonts w:eastAsia="Times New Roman"/>
                  <w:color w:val="000000" w:themeColor="text1"/>
                  <w:sz w:val="20"/>
                  <w:szCs w:val="22"/>
                </w:rPr>
                <w:id w:val="125231135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w:t>
            </w:r>
            <w:r>
              <w:rPr>
                <w:rFonts w:eastAsia="Times New Roman"/>
                <w:color w:val="000000" w:themeColor="text1"/>
                <w:sz w:val="20"/>
                <w:szCs w:val="22"/>
              </w:rPr>
              <w:t>E3C3</w:t>
            </w:r>
          </w:p>
          <w:p w14:paraId="5BEB5CA4" w14:textId="1E96434C" w:rsidR="0089178E" w:rsidRPr="00626E0F" w:rsidRDefault="0089178E" w:rsidP="003227D5">
            <w:pPr>
              <w:spacing w:line="240" w:lineRule="auto"/>
              <w:ind w:left="34"/>
              <w:rPr>
                <w:rFonts w:eastAsia="Times New Roman"/>
                <w:b/>
                <w:color w:val="000000" w:themeColor="text1"/>
                <w:sz w:val="20"/>
                <w:szCs w:val="22"/>
              </w:rPr>
            </w:pPr>
            <w:r w:rsidRPr="00626E0F">
              <w:rPr>
                <w:rFonts w:eastAsia="Times New Roman"/>
                <w:b/>
                <w:color w:val="000000" w:themeColor="text1"/>
                <w:sz w:val="20"/>
                <w:szCs w:val="22"/>
              </w:rPr>
              <w:t>VOIE :</w:t>
            </w:r>
            <w:r w:rsidRPr="00626E0F">
              <w:rPr>
                <w:rFonts w:eastAsia="Times New Roman"/>
                <w:color w:val="000000" w:themeColor="text1"/>
                <w:sz w:val="20"/>
                <w:szCs w:val="22"/>
              </w:rPr>
              <w:t xml:space="preserve"> </w:t>
            </w:r>
            <w:sdt>
              <w:sdtPr>
                <w:rPr>
                  <w:rFonts w:eastAsia="Times New Roman"/>
                  <w:color w:val="000000" w:themeColor="text1"/>
                  <w:sz w:val="20"/>
                  <w:szCs w:val="22"/>
                </w:rPr>
                <w:id w:val="1896242340"/>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Générale</w:t>
            </w:r>
            <w:r w:rsidR="003227D5">
              <w:rPr>
                <w:rFonts w:ascii="MS Gothic" w:eastAsia="MS Gothic" w:hAnsi="MS Gothic"/>
                <w:color w:val="000000" w:themeColor="text1"/>
                <w:sz w:val="20"/>
                <w:szCs w:val="22"/>
              </w:rPr>
              <w:tab/>
            </w:r>
            <w:r w:rsidR="003227D5">
              <w:rPr>
                <w:rFonts w:ascii="MS Gothic" w:eastAsia="MS Gothic" w:hAnsi="MS Gothic"/>
                <w:color w:val="000000" w:themeColor="text1"/>
                <w:sz w:val="20"/>
                <w:szCs w:val="22"/>
              </w:rPr>
              <w:tab/>
            </w:r>
            <w:r w:rsidR="003227D5">
              <w:rPr>
                <w:rFonts w:ascii="MS Gothic" w:eastAsia="MS Gothic" w:hAnsi="MS Gothic"/>
                <w:color w:val="000000" w:themeColor="text1"/>
                <w:sz w:val="20"/>
                <w:szCs w:val="22"/>
              </w:rPr>
              <w:tab/>
            </w:r>
            <w:r w:rsidRPr="00626E0F">
              <w:rPr>
                <w:rFonts w:eastAsia="Times New Roman"/>
                <w:b/>
                <w:color w:val="000000" w:themeColor="text1"/>
                <w:sz w:val="20"/>
                <w:szCs w:val="22"/>
              </w:rPr>
              <w:t>ENSEIGNEMENT :</w:t>
            </w:r>
            <w:r>
              <w:rPr>
                <w:rFonts w:eastAsia="Times New Roman"/>
                <w:b/>
                <w:color w:val="000000" w:themeColor="text1"/>
                <w:sz w:val="20"/>
                <w:szCs w:val="22"/>
              </w:rPr>
              <w:t xml:space="preserve"> physique-chimie</w:t>
            </w:r>
          </w:p>
          <w:p w14:paraId="1057C7DD" w14:textId="74414AF3" w:rsidR="0089178E" w:rsidRPr="00626E0F" w:rsidRDefault="0089178E" w:rsidP="003227D5">
            <w:pPr>
              <w:spacing w:line="240" w:lineRule="auto"/>
              <w:ind w:left="0"/>
              <w:rPr>
                <w:rFonts w:eastAsia="Times New Roman"/>
                <w:b/>
                <w:color w:val="000000" w:themeColor="text1"/>
                <w:sz w:val="22"/>
                <w:szCs w:val="22"/>
              </w:rPr>
            </w:pPr>
            <w:r w:rsidRPr="00626E0F">
              <w:rPr>
                <w:rFonts w:eastAsia="Times New Roman"/>
                <w:b/>
                <w:color w:val="000000" w:themeColor="text1"/>
                <w:sz w:val="20"/>
                <w:szCs w:val="22"/>
              </w:rPr>
              <w:t>DURÉE DE L’ÉPREUVE :</w:t>
            </w:r>
            <w:r>
              <w:rPr>
                <w:rFonts w:eastAsia="Times New Roman"/>
                <w:color w:val="000000" w:themeColor="text1"/>
                <w:sz w:val="20"/>
                <w:szCs w:val="22"/>
              </w:rPr>
              <w:t xml:space="preserve"> </w:t>
            </w:r>
            <w:r w:rsidR="00A471DE">
              <w:rPr>
                <w:rFonts w:eastAsia="Times New Roman"/>
                <w:color w:val="000000" w:themeColor="text1"/>
                <w:sz w:val="20"/>
                <w:szCs w:val="22"/>
              </w:rPr>
              <w:t>1</w:t>
            </w:r>
            <w:r>
              <w:rPr>
                <w:rFonts w:eastAsia="Times New Roman"/>
                <w:color w:val="000000" w:themeColor="text1"/>
                <w:sz w:val="20"/>
                <w:szCs w:val="22"/>
              </w:rPr>
              <w:t xml:space="preserve"> h</w:t>
            </w:r>
            <w:r w:rsidR="003227D5">
              <w:rPr>
                <w:rFonts w:eastAsia="Times New Roman"/>
                <w:color w:val="000000" w:themeColor="text1"/>
                <w:sz w:val="20"/>
                <w:szCs w:val="22"/>
              </w:rPr>
              <w:tab/>
            </w:r>
            <w:r w:rsidR="003227D5">
              <w:rPr>
                <w:rFonts w:eastAsia="Times New Roman"/>
                <w:color w:val="000000" w:themeColor="text1"/>
                <w:sz w:val="20"/>
                <w:szCs w:val="22"/>
              </w:rPr>
              <w:tab/>
            </w:r>
            <w:r>
              <w:rPr>
                <w:rFonts w:eastAsia="Times New Roman"/>
                <w:b/>
                <w:color w:val="000000" w:themeColor="text1"/>
                <w:sz w:val="20"/>
                <w:szCs w:val="22"/>
              </w:rPr>
              <w:t>CALCULATRICE AUTORIS</w:t>
            </w:r>
            <w:r>
              <w:rPr>
                <w:rFonts w:eastAsia="Times New Roman" w:cs="Arial"/>
                <w:b/>
                <w:color w:val="000000" w:themeColor="text1"/>
                <w:sz w:val="20"/>
                <w:szCs w:val="22"/>
              </w:rPr>
              <w:t xml:space="preserve">ÉE </w:t>
            </w:r>
            <w:r w:rsidRPr="00626E0F">
              <w:rPr>
                <w:rFonts w:eastAsia="Times New Roman"/>
                <w:b/>
                <w:color w:val="000000" w:themeColor="text1"/>
                <w:sz w:val="20"/>
                <w:szCs w:val="22"/>
              </w:rPr>
              <w:t>:</w:t>
            </w:r>
            <w:r>
              <w:rPr>
                <w:rFonts w:eastAsia="Times New Roman"/>
                <w:b/>
                <w:color w:val="000000" w:themeColor="text1"/>
                <w:sz w:val="20"/>
                <w:szCs w:val="22"/>
              </w:rPr>
              <w:t xml:space="preserve"> </w:t>
            </w:r>
            <w:sdt>
              <w:sdtPr>
                <w:rPr>
                  <w:rFonts w:eastAsia="Times New Roman"/>
                  <w:color w:val="000000" w:themeColor="text1"/>
                  <w:sz w:val="20"/>
                  <w:szCs w:val="22"/>
                </w:rPr>
                <w:id w:val="988758419"/>
                <w14:checkbox>
                  <w14:checked w14:val="1"/>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Pr>
                <w:rFonts w:eastAsia="Times New Roman"/>
                <w:color w:val="000000" w:themeColor="text1"/>
                <w:sz w:val="20"/>
                <w:szCs w:val="22"/>
              </w:rPr>
              <w:t xml:space="preserve">Oui  </w:t>
            </w:r>
            <w:sdt>
              <w:sdtPr>
                <w:rPr>
                  <w:rFonts w:eastAsia="Times New Roman"/>
                  <w:color w:val="000000" w:themeColor="text1"/>
                  <w:sz w:val="20"/>
                  <w:szCs w:val="22"/>
                </w:rPr>
                <w:id w:val="-6319065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2"/>
                  </w:rPr>
                  <w:t>☐</w:t>
                </w:r>
              </w:sdtContent>
            </w:sdt>
            <w:r>
              <w:rPr>
                <w:rFonts w:eastAsia="Times New Roman"/>
                <w:color w:val="000000" w:themeColor="text1"/>
                <w:sz w:val="20"/>
                <w:szCs w:val="22"/>
              </w:rPr>
              <w:t xml:space="preserve"> Non</w:t>
            </w:r>
          </w:p>
        </w:tc>
      </w:tr>
    </w:tbl>
    <w:p w14:paraId="46EB6FEB" w14:textId="77777777" w:rsidR="007A2432" w:rsidRPr="007A2432" w:rsidRDefault="007A2432" w:rsidP="007A2432">
      <w:pPr>
        <w:spacing w:after="0" w:line="240" w:lineRule="auto"/>
        <w:ind w:left="0"/>
        <w:jc w:val="center"/>
        <w:rPr>
          <w:rFonts w:eastAsia="Arial" w:cs="Arial"/>
          <w:b/>
          <w:lang w:eastAsia="en-US"/>
        </w:rPr>
      </w:pPr>
    </w:p>
    <w:p w14:paraId="37B2CD50" w14:textId="77777777" w:rsidR="007A2432" w:rsidRPr="007A2432" w:rsidRDefault="007A2432" w:rsidP="007A2432">
      <w:pPr>
        <w:spacing w:after="0" w:line="240" w:lineRule="auto"/>
        <w:ind w:left="0"/>
        <w:jc w:val="center"/>
        <w:rPr>
          <w:rFonts w:eastAsia="Arial" w:cs="Arial"/>
          <w:lang w:eastAsia="en-US"/>
        </w:rPr>
      </w:pPr>
      <w:r w:rsidRPr="007A2432">
        <w:rPr>
          <w:rFonts w:eastAsia="Arial" w:cs="Arial"/>
          <w:b/>
          <w:lang w:eastAsia="en-US"/>
        </w:rPr>
        <w:t>Hypochlorites et eaux de Javel (10 points)</w:t>
      </w:r>
    </w:p>
    <w:p w14:paraId="617B36E0" w14:textId="0FA379F4" w:rsidR="007A2432" w:rsidRPr="007A2432" w:rsidRDefault="00323C72" w:rsidP="007A2432">
      <w:pPr>
        <w:spacing w:after="0" w:line="240" w:lineRule="auto"/>
        <w:ind w:left="0"/>
        <w:rPr>
          <w:rFonts w:eastAsia="Arial" w:cs="Arial"/>
          <w:lang w:eastAsia="en-US"/>
        </w:rPr>
      </w:pPr>
      <w:r w:rsidRPr="007A2432">
        <w:rPr>
          <w:rFonts w:eastAsia="Arial" w:cs="Arial"/>
          <w:noProof/>
        </w:rPr>
        <w:drawing>
          <wp:anchor distT="0" distB="0" distL="114300" distR="114300" simplePos="0" relativeHeight="251659264" behindDoc="0" locked="0" layoutInCell="1" allowOverlap="1" wp14:anchorId="19EB2A56" wp14:editId="51952C2B">
            <wp:simplePos x="0" y="0"/>
            <wp:positionH relativeFrom="column">
              <wp:posOffset>4793615</wp:posOffset>
            </wp:positionH>
            <wp:positionV relativeFrom="paragraph">
              <wp:posOffset>10795</wp:posOffset>
            </wp:positionV>
            <wp:extent cx="1708150" cy="1333500"/>
            <wp:effectExtent l="0" t="0" r="6350" b="0"/>
            <wp:wrapSquare wrapText="bothSides"/>
            <wp:docPr id="6" name="Image 1" descr="Utilis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isation 2.jpg"/>
                    <pic:cNvPicPr/>
                  </pic:nvPicPr>
                  <pic:blipFill>
                    <a:blip r:embed="rId8" cstate="print">
                      <a:grayscl/>
                    </a:blip>
                    <a:stretch>
                      <a:fillRect/>
                    </a:stretch>
                  </pic:blipFill>
                  <pic:spPr>
                    <a:xfrm>
                      <a:off x="0" y="0"/>
                      <a:ext cx="1708150" cy="1333500"/>
                    </a:xfrm>
                    <a:prstGeom prst="rect">
                      <a:avLst/>
                    </a:prstGeom>
                  </pic:spPr>
                </pic:pic>
              </a:graphicData>
            </a:graphic>
          </wp:anchor>
        </w:drawing>
      </w:r>
    </w:p>
    <w:p w14:paraId="4EF50DC9" w14:textId="43041B98" w:rsidR="007A2432" w:rsidRPr="007A2432" w:rsidRDefault="007A2432" w:rsidP="00323C72">
      <w:pPr>
        <w:spacing w:after="0" w:line="240" w:lineRule="auto"/>
        <w:ind w:left="0"/>
        <w:jc w:val="both"/>
        <w:rPr>
          <w:rFonts w:eastAsia="Arial" w:cs="Arial"/>
          <w:lang w:eastAsia="en-US"/>
        </w:rPr>
      </w:pPr>
      <w:r w:rsidRPr="007A2432">
        <w:rPr>
          <w:rFonts w:eastAsia="Arial" w:cs="Arial"/>
          <w:lang w:eastAsia="en-US"/>
        </w:rPr>
        <w:t>Connue depuis plus de deux siècles pour son pouvoir à la fois désinfectant et blanchissant, l’eau de Javel reste encore aujourd’hui un produit d’utilisation courante en France. Chaque année, on compte environ 245 millions de litres commercialisés au niveau du grand public.</w:t>
      </w:r>
    </w:p>
    <w:p w14:paraId="2A1EACC4" w14:textId="77777777" w:rsidR="007A2432" w:rsidRPr="007A2432" w:rsidRDefault="007A2432" w:rsidP="007A2432">
      <w:pPr>
        <w:spacing w:after="0" w:line="240" w:lineRule="auto"/>
        <w:ind w:left="0"/>
        <w:jc w:val="right"/>
        <w:rPr>
          <w:rFonts w:eastAsia="Arial" w:cs="Arial"/>
          <w:i/>
          <w:lang w:eastAsia="en-US"/>
        </w:rPr>
      </w:pPr>
      <w:r w:rsidRPr="007A2432">
        <w:rPr>
          <w:rFonts w:eastAsia="Arial" w:cs="Arial"/>
          <w:i/>
          <w:lang w:eastAsia="en-US"/>
        </w:rPr>
        <w:t xml:space="preserve">d’après </w:t>
      </w:r>
      <w:hyperlink r:id="rId9" w:history="1">
        <w:r w:rsidRPr="007A2432">
          <w:rPr>
            <w:rFonts w:eastAsia="Arial" w:cs="Arial"/>
            <w:i/>
            <w:u w:val="single"/>
            <w:lang w:eastAsia="en-US"/>
          </w:rPr>
          <w:t>https://www.eaudejavel.fr/</w:t>
        </w:r>
      </w:hyperlink>
    </w:p>
    <w:p w14:paraId="75D69F63" w14:textId="77777777" w:rsidR="007A2432" w:rsidRPr="007A2432" w:rsidRDefault="007A2432" w:rsidP="007A2432">
      <w:pPr>
        <w:spacing w:after="0" w:line="240" w:lineRule="auto"/>
        <w:ind w:left="0"/>
        <w:rPr>
          <w:rFonts w:eastAsia="Arial" w:cs="Arial"/>
          <w:lang w:eastAsia="en-US"/>
        </w:rPr>
      </w:pPr>
    </w:p>
    <w:p w14:paraId="45AD7E0B" w14:textId="77777777" w:rsidR="007A2432" w:rsidRPr="007A2432" w:rsidRDefault="007A2432" w:rsidP="00323C72">
      <w:pPr>
        <w:spacing w:after="0" w:line="240" w:lineRule="auto"/>
        <w:ind w:left="0"/>
        <w:jc w:val="both"/>
        <w:rPr>
          <w:rFonts w:eastAsia="Arial" w:cs="Arial"/>
          <w:lang w:eastAsia="en-US"/>
        </w:rPr>
      </w:pPr>
      <w:r w:rsidRPr="007A2432">
        <w:rPr>
          <w:rFonts w:eastAsia="Arial" w:cs="Arial"/>
          <w:lang w:eastAsia="en-US"/>
        </w:rPr>
        <w:t>L’eau de Javel est une solution aqueuse contenant des ions hypochlorite 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vertAlign w:val="subscript"/>
          <w:lang w:eastAsia="en-US"/>
        </w:rPr>
        <w:t>(aq)</w:t>
      </w:r>
      <w:r w:rsidRPr="007A2432">
        <w:rPr>
          <w:rFonts w:eastAsia="Arial" w:cs="Arial"/>
          <w:iCs/>
          <w:lang w:eastAsia="en-US"/>
        </w:rPr>
        <w:t>. Son efficacité dépend de la concentration de ces ions qui présentent des propriétés oxydantes.</w:t>
      </w:r>
      <w:r w:rsidRPr="007A2432">
        <w:rPr>
          <w:rFonts w:eastAsia="Arial" w:cs="Arial"/>
          <w:lang w:eastAsia="en-US"/>
        </w:rPr>
        <w:t xml:space="preserve"> Rencontrée sous différentes formes dans les usages domestiques, l’eau de Javel est très fréquemment vendue en flacon ou en berlingot de recharge affichant respectivement des degrés chlorométriques de 9° chl et de 36° chl.</w:t>
      </w:r>
    </w:p>
    <w:p w14:paraId="2BC9472F" w14:textId="77777777" w:rsidR="007A2432" w:rsidRPr="007A2432" w:rsidRDefault="007A2432" w:rsidP="007A2432">
      <w:pPr>
        <w:spacing w:after="0" w:line="240" w:lineRule="auto"/>
        <w:ind w:left="0"/>
        <w:rPr>
          <w:rFonts w:eastAsia="Arial" w:cs="Arial"/>
          <w:lang w:eastAsia="en-US"/>
        </w:rPr>
      </w:pPr>
    </w:p>
    <w:p w14:paraId="63BCB216" w14:textId="77777777" w:rsidR="007A2432" w:rsidRPr="007A2432" w:rsidRDefault="007A2432" w:rsidP="00323C72">
      <w:pPr>
        <w:spacing w:after="0" w:line="240" w:lineRule="auto"/>
        <w:ind w:left="0"/>
        <w:jc w:val="both"/>
        <w:rPr>
          <w:rFonts w:eastAsia="Arial" w:cs="Arial"/>
          <w:lang w:eastAsia="en-US"/>
        </w:rPr>
      </w:pPr>
      <w:r w:rsidRPr="007A2432">
        <w:rPr>
          <w:rFonts w:eastAsia="Arial" w:cs="Arial"/>
          <w:lang w:eastAsia="en-US"/>
        </w:rPr>
        <w:t>Le but de cet exercice est d’expliciter certaines des indications données par un fabricant proposant deux types de conditionnement, flacon et berlingot, et d’étudier une méthode de dosage de l’eau de Javel.</w:t>
      </w:r>
    </w:p>
    <w:p w14:paraId="5908D1EE" w14:textId="77777777" w:rsidR="007A2432" w:rsidRPr="007A2432" w:rsidRDefault="007A2432" w:rsidP="007A2432">
      <w:pPr>
        <w:spacing w:after="0" w:line="240" w:lineRule="auto"/>
        <w:ind w:left="0"/>
        <w:rPr>
          <w:rFonts w:eastAsia="Arial" w:cs="Arial"/>
          <w:lang w:eastAsia="en-US"/>
        </w:rPr>
      </w:pPr>
    </w:p>
    <w:tbl>
      <w:tblPr>
        <w:tblStyle w:val="Grilledutableau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5094"/>
        <w:gridCol w:w="5094"/>
      </w:tblGrid>
      <w:tr w:rsidR="007A2432" w:rsidRPr="007A2432" w14:paraId="1A9F7871" w14:textId="77777777" w:rsidTr="00AE42A4">
        <w:tc>
          <w:tcPr>
            <w:tcW w:w="5172" w:type="dxa"/>
          </w:tcPr>
          <w:p w14:paraId="426A6C6E" w14:textId="77777777" w:rsidR="007A2432" w:rsidRPr="007A2432" w:rsidRDefault="007A2432" w:rsidP="007A2432">
            <w:pPr>
              <w:spacing w:after="0" w:line="240" w:lineRule="auto"/>
              <w:ind w:left="0"/>
              <w:jc w:val="center"/>
            </w:pPr>
            <w:r w:rsidRPr="007A2432">
              <w:t>« JAVEL » en flacon</w:t>
            </w:r>
          </w:p>
        </w:tc>
        <w:tc>
          <w:tcPr>
            <w:tcW w:w="5172" w:type="dxa"/>
          </w:tcPr>
          <w:p w14:paraId="07CE910E" w14:textId="77777777" w:rsidR="007A2432" w:rsidRPr="007A2432" w:rsidRDefault="007A2432" w:rsidP="007A2432">
            <w:pPr>
              <w:spacing w:after="0" w:line="240" w:lineRule="auto"/>
              <w:ind w:left="0"/>
              <w:jc w:val="center"/>
            </w:pPr>
            <w:r w:rsidRPr="007A2432">
              <w:t>« JAVEL CONCENTRÉE » en berlingot</w:t>
            </w:r>
          </w:p>
        </w:tc>
      </w:tr>
      <w:tr w:rsidR="007A2432" w:rsidRPr="007A2432" w14:paraId="327A685F" w14:textId="77777777" w:rsidTr="00AE42A4">
        <w:tc>
          <w:tcPr>
            <w:tcW w:w="5172" w:type="dxa"/>
            <w:vAlign w:val="center"/>
          </w:tcPr>
          <w:p w14:paraId="72DC3CEC" w14:textId="77777777" w:rsidR="007A2432" w:rsidRPr="007A2432" w:rsidRDefault="007A2432" w:rsidP="007A2432">
            <w:pPr>
              <w:spacing w:after="0" w:line="240" w:lineRule="auto"/>
              <w:ind w:left="0"/>
              <w:jc w:val="center"/>
            </w:pPr>
            <w:r w:rsidRPr="007A2432">
              <w:t>Eau de Javel prête à l’emploi.</w:t>
            </w:r>
          </w:p>
        </w:tc>
        <w:tc>
          <w:tcPr>
            <w:tcW w:w="5172" w:type="dxa"/>
          </w:tcPr>
          <w:p w14:paraId="061A1A95" w14:textId="77777777" w:rsidR="007A2432" w:rsidRPr="007A2432" w:rsidRDefault="007A2432" w:rsidP="00323C72">
            <w:pPr>
              <w:spacing w:after="0" w:line="240" w:lineRule="auto"/>
              <w:ind w:left="0"/>
              <w:jc w:val="both"/>
            </w:pPr>
            <w:r w:rsidRPr="007A2432">
              <w:t>Verser deux berlingots dans un flacon de 2 L vide et compléter avec de l’eau froide pour obtenir un volume de 2 L d’eau de Javel prête à l’emploi.</w:t>
            </w:r>
          </w:p>
        </w:tc>
      </w:tr>
      <w:tr w:rsidR="007A2432" w:rsidRPr="007A2432" w14:paraId="79ED9FCE" w14:textId="77777777" w:rsidTr="00AE42A4">
        <w:tc>
          <w:tcPr>
            <w:tcW w:w="5172" w:type="dxa"/>
          </w:tcPr>
          <w:p w14:paraId="1D02DEBA" w14:textId="77777777" w:rsidR="007A2432" w:rsidRPr="007A2432" w:rsidRDefault="007A2432" w:rsidP="00323C72">
            <w:pPr>
              <w:numPr>
                <w:ilvl w:val="0"/>
                <w:numId w:val="1"/>
              </w:numPr>
              <w:spacing w:after="0" w:line="240" w:lineRule="auto"/>
              <w:contextualSpacing/>
              <w:jc w:val="both"/>
            </w:pPr>
            <w:r w:rsidRPr="007A2432">
              <w:t>À utiliser de préférence dans les trois ans suivant les indications figurant sur le haut de la bouteille.</w:t>
            </w:r>
          </w:p>
          <w:p w14:paraId="122753B9" w14:textId="77777777" w:rsidR="007A2432" w:rsidRPr="007A2432" w:rsidRDefault="007A2432" w:rsidP="00323C72">
            <w:pPr>
              <w:numPr>
                <w:ilvl w:val="0"/>
                <w:numId w:val="1"/>
              </w:numPr>
              <w:spacing w:after="0" w:line="240" w:lineRule="auto"/>
              <w:contextualSpacing/>
              <w:jc w:val="both"/>
            </w:pPr>
            <w:r w:rsidRPr="007A2432">
              <w:t>À conserver au frais et à l’abri de la lumière et du soleil.</w:t>
            </w:r>
          </w:p>
          <w:p w14:paraId="09C3A4FF" w14:textId="77777777" w:rsidR="007A2432" w:rsidRPr="007A2432" w:rsidRDefault="007A2432" w:rsidP="00323C72">
            <w:pPr>
              <w:numPr>
                <w:ilvl w:val="0"/>
                <w:numId w:val="1"/>
              </w:numPr>
              <w:spacing w:after="0" w:line="240" w:lineRule="auto"/>
              <w:contextualSpacing/>
              <w:jc w:val="both"/>
            </w:pPr>
            <w:r w:rsidRPr="007A2432">
              <w:t>Ne pas réutiliser le flacon vide, sauf pour diluer de l’eau de Javel en berlingot.</w:t>
            </w:r>
          </w:p>
        </w:tc>
        <w:tc>
          <w:tcPr>
            <w:tcW w:w="5172" w:type="dxa"/>
          </w:tcPr>
          <w:p w14:paraId="319D745F" w14:textId="77777777" w:rsidR="007A2432" w:rsidRPr="007A2432" w:rsidRDefault="007A2432" w:rsidP="00323C72">
            <w:pPr>
              <w:numPr>
                <w:ilvl w:val="0"/>
                <w:numId w:val="1"/>
              </w:numPr>
              <w:spacing w:after="0" w:line="240" w:lineRule="auto"/>
              <w:contextualSpacing/>
              <w:jc w:val="both"/>
            </w:pPr>
            <w:r w:rsidRPr="007A2432">
              <w:t>À diluer dans les trois mois qui suivent la date de fabrication (dans les deux mois et demi en période chaude).</w:t>
            </w:r>
          </w:p>
          <w:p w14:paraId="00864106" w14:textId="77777777" w:rsidR="007A2432" w:rsidRPr="007A2432" w:rsidRDefault="007A2432" w:rsidP="00323C72">
            <w:pPr>
              <w:numPr>
                <w:ilvl w:val="0"/>
                <w:numId w:val="1"/>
              </w:numPr>
              <w:spacing w:after="0" w:line="240" w:lineRule="auto"/>
              <w:contextualSpacing/>
              <w:jc w:val="both"/>
            </w:pPr>
            <w:r w:rsidRPr="007A2432">
              <w:t>À conserver au frais et à l’abri de la lumière et du soleil.</w:t>
            </w:r>
          </w:p>
          <w:p w14:paraId="397934DC" w14:textId="77777777" w:rsidR="007A2432" w:rsidRPr="007A2432" w:rsidRDefault="007A2432" w:rsidP="00323C72">
            <w:pPr>
              <w:numPr>
                <w:ilvl w:val="0"/>
                <w:numId w:val="1"/>
              </w:numPr>
              <w:spacing w:after="0" w:line="240" w:lineRule="auto"/>
              <w:contextualSpacing/>
              <w:jc w:val="both"/>
            </w:pPr>
            <w:r w:rsidRPr="007A2432">
              <w:t>Ne pas utiliser de flacons alimentaires.</w:t>
            </w:r>
          </w:p>
        </w:tc>
      </w:tr>
      <w:tr w:rsidR="007A2432" w:rsidRPr="007A2432" w14:paraId="76889267" w14:textId="77777777" w:rsidTr="00AE42A4">
        <w:tc>
          <w:tcPr>
            <w:tcW w:w="5172" w:type="dxa"/>
          </w:tcPr>
          <w:p w14:paraId="2C189CDF" w14:textId="77777777" w:rsidR="007A2432" w:rsidRPr="007A2432" w:rsidRDefault="007A2432" w:rsidP="007A2432">
            <w:pPr>
              <w:spacing w:after="0" w:line="240" w:lineRule="auto"/>
              <w:ind w:left="0"/>
              <w:jc w:val="center"/>
            </w:pPr>
            <w:r w:rsidRPr="007A2432">
              <w:t>Contient : sodium hypochlorite, sodium hydroxyde.</w:t>
            </w:r>
          </w:p>
          <w:p w14:paraId="4746D43A" w14:textId="77777777" w:rsidR="007A2432" w:rsidRPr="007A2432" w:rsidRDefault="007A2432" w:rsidP="007A2432">
            <w:pPr>
              <w:spacing w:after="0" w:line="240" w:lineRule="auto"/>
              <w:ind w:left="0"/>
              <w:jc w:val="center"/>
            </w:pPr>
            <w:r w:rsidRPr="007A2432">
              <w:rPr>
                <w:noProof/>
              </w:rPr>
              <w:drawing>
                <wp:inline distT="0" distB="0" distL="0" distR="0" wp14:anchorId="0CB16447" wp14:editId="0C60BBE8">
                  <wp:extent cx="1419063" cy="571500"/>
                  <wp:effectExtent l="19050" t="0" r="0" b="0"/>
                  <wp:docPr id="7" name="Image 3" descr="Pict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me.jpg"/>
                          <pic:cNvPicPr/>
                        </pic:nvPicPr>
                        <pic:blipFill>
                          <a:blip r:embed="rId10" cstate="print">
                            <a:grayscl/>
                          </a:blip>
                          <a:stretch>
                            <a:fillRect/>
                          </a:stretch>
                        </pic:blipFill>
                        <pic:spPr>
                          <a:xfrm>
                            <a:off x="0" y="0"/>
                            <a:ext cx="1428754" cy="575403"/>
                          </a:xfrm>
                          <a:prstGeom prst="rect">
                            <a:avLst/>
                          </a:prstGeom>
                        </pic:spPr>
                      </pic:pic>
                    </a:graphicData>
                  </a:graphic>
                </wp:inline>
              </w:drawing>
            </w:r>
          </w:p>
        </w:tc>
        <w:tc>
          <w:tcPr>
            <w:tcW w:w="5172" w:type="dxa"/>
          </w:tcPr>
          <w:p w14:paraId="03489E46" w14:textId="77777777" w:rsidR="007A2432" w:rsidRPr="007A2432" w:rsidRDefault="007A2432" w:rsidP="007A2432">
            <w:pPr>
              <w:spacing w:after="0" w:line="240" w:lineRule="auto"/>
              <w:ind w:left="0"/>
              <w:jc w:val="center"/>
            </w:pPr>
            <w:r w:rsidRPr="007A2432">
              <w:t>Contient : sodium hypochlorite, sodium hydroxyde.</w:t>
            </w:r>
          </w:p>
          <w:p w14:paraId="13EC97CF" w14:textId="77777777" w:rsidR="007A2432" w:rsidRPr="007A2432" w:rsidRDefault="007A2432" w:rsidP="007A2432">
            <w:pPr>
              <w:spacing w:after="0" w:line="240" w:lineRule="auto"/>
              <w:ind w:left="0"/>
              <w:jc w:val="center"/>
            </w:pPr>
            <w:r w:rsidRPr="007A2432">
              <w:rPr>
                <w:noProof/>
              </w:rPr>
              <w:drawing>
                <wp:inline distT="0" distB="0" distL="0" distR="0" wp14:anchorId="76156B06" wp14:editId="2EB7CAC7">
                  <wp:extent cx="1419063" cy="571500"/>
                  <wp:effectExtent l="19050" t="0" r="0" b="0"/>
                  <wp:docPr id="8" name="Image 3" descr="Pict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me.jpg"/>
                          <pic:cNvPicPr/>
                        </pic:nvPicPr>
                        <pic:blipFill>
                          <a:blip r:embed="rId10" cstate="print">
                            <a:grayscl/>
                          </a:blip>
                          <a:stretch>
                            <a:fillRect/>
                          </a:stretch>
                        </pic:blipFill>
                        <pic:spPr>
                          <a:xfrm>
                            <a:off x="0" y="0"/>
                            <a:ext cx="1428754" cy="575403"/>
                          </a:xfrm>
                          <a:prstGeom prst="rect">
                            <a:avLst/>
                          </a:prstGeom>
                        </pic:spPr>
                      </pic:pic>
                    </a:graphicData>
                  </a:graphic>
                </wp:inline>
              </w:drawing>
            </w:r>
          </w:p>
        </w:tc>
      </w:tr>
      <w:tr w:rsidR="007A2432" w:rsidRPr="007A2432" w14:paraId="4536D6CC" w14:textId="77777777" w:rsidTr="00AE42A4">
        <w:tc>
          <w:tcPr>
            <w:tcW w:w="5172" w:type="dxa"/>
          </w:tcPr>
          <w:p w14:paraId="70655EB8" w14:textId="77777777" w:rsidR="007A2432" w:rsidRPr="007A2432" w:rsidRDefault="007A2432" w:rsidP="007A2432">
            <w:pPr>
              <w:spacing w:after="0" w:line="240" w:lineRule="auto"/>
              <w:ind w:left="0"/>
              <w:jc w:val="center"/>
            </w:pPr>
            <w:r w:rsidRPr="007A2432">
              <w:t>FLACON DE 2 L</w:t>
            </w:r>
          </w:p>
          <w:p w14:paraId="7BEFA8DC" w14:textId="77777777" w:rsidR="007A2432" w:rsidRPr="007A2432" w:rsidRDefault="007A2432" w:rsidP="007A2432">
            <w:pPr>
              <w:spacing w:after="0" w:line="240" w:lineRule="auto"/>
              <w:ind w:left="0"/>
              <w:jc w:val="center"/>
            </w:pPr>
            <w:r w:rsidRPr="007A2432">
              <w:t>CONCENTRATION : 9° chl</w:t>
            </w:r>
          </w:p>
        </w:tc>
        <w:tc>
          <w:tcPr>
            <w:tcW w:w="5172" w:type="dxa"/>
          </w:tcPr>
          <w:p w14:paraId="342DEF0B" w14:textId="77777777" w:rsidR="007A2432" w:rsidRPr="007A2432" w:rsidRDefault="007A2432" w:rsidP="007A2432">
            <w:pPr>
              <w:spacing w:after="0" w:line="240" w:lineRule="auto"/>
              <w:ind w:left="0"/>
              <w:jc w:val="center"/>
            </w:pPr>
            <w:r w:rsidRPr="007A2432">
              <w:t>BERLINGOT DE 250 mL</w:t>
            </w:r>
          </w:p>
          <w:p w14:paraId="61383ADB" w14:textId="77777777" w:rsidR="007A2432" w:rsidRPr="007A2432" w:rsidRDefault="007A2432" w:rsidP="007A2432">
            <w:pPr>
              <w:spacing w:after="0" w:line="240" w:lineRule="auto"/>
              <w:ind w:left="0"/>
              <w:jc w:val="center"/>
            </w:pPr>
            <w:r w:rsidRPr="007A2432">
              <w:t>CONCENTRATION : 36° chl</w:t>
            </w:r>
          </w:p>
        </w:tc>
      </w:tr>
    </w:tbl>
    <w:p w14:paraId="63DB37E2" w14:textId="7291BE87" w:rsidR="00323C72" w:rsidRDefault="00323C72" w:rsidP="007A2432">
      <w:pPr>
        <w:spacing w:after="0" w:line="240" w:lineRule="auto"/>
        <w:ind w:left="0"/>
        <w:rPr>
          <w:rFonts w:eastAsia="Arial" w:cs="Arial"/>
          <w:lang w:eastAsia="en-US"/>
        </w:rPr>
      </w:pPr>
    </w:p>
    <w:p w14:paraId="5C4722D3" w14:textId="77777777" w:rsidR="00323C72" w:rsidRDefault="00323C72">
      <w:pPr>
        <w:spacing w:after="0" w:line="240" w:lineRule="auto"/>
        <w:ind w:left="0"/>
        <w:rPr>
          <w:rFonts w:eastAsia="Arial" w:cs="Arial"/>
          <w:lang w:eastAsia="en-US"/>
        </w:rPr>
      </w:pPr>
      <w:r>
        <w:rPr>
          <w:rFonts w:eastAsia="Arial" w:cs="Arial"/>
          <w:lang w:eastAsia="en-US"/>
        </w:rPr>
        <w:br w:type="page"/>
      </w:r>
    </w:p>
    <w:p w14:paraId="6BFBC8E4" w14:textId="77777777" w:rsidR="007A2432" w:rsidRPr="007A2432" w:rsidRDefault="007A2432" w:rsidP="007A2432">
      <w:pPr>
        <w:spacing w:after="0" w:line="240" w:lineRule="auto"/>
        <w:ind w:left="0"/>
        <w:rPr>
          <w:rFonts w:eastAsia="Arial" w:cs="Arial"/>
          <w:b/>
          <w:lang w:eastAsia="en-US"/>
        </w:rPr>
      </w:pPr>
      <w:r w:rsidRPr="007A2432">
        <w:rPr>
          <w:rFonts w:eastAsia="Arial" w:cs="Arial"/>
          <w:b/>
          <w:lang w:eastAsia="en-US"/>
        </w:rPr>
        <w:lastRenderedPageBreak/>
        <w:t>1. Degré chlorométrique d’une eau de Javel</w:t>
      </w:r>
    </w:p>
    <w:p w14:paraId="3556D355" w14:textId="77777777" w:rsidR="007A2432" w:rsidRPr="007A2432" w:rsidRDefault="007A2432" w:rsidP="007A2432">
      <w:pPr>
        <w:spacing w:after="0" w:line="240" w:lineRule="auto"/>
        <w:ind w:left="0"/>
        <w:rPr>
          <w:rFonts w:eastAsia="Arial" w:cs="Arial"/>
          <w:lang w:eastAsia="en-US"/>
        </w:rPr>
      </w:pPr>
    </w:p>
    <w:p w14:paraId="5EF62B22"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Industriellement, l’eau de Javel est obtenue par barbotage de dichlore gazeux C</w:t>
      </w:r>
      <w:r w:rsidRPr="007A2432">
        <w:rPr>
          <w:rFonts w:eastAsia="Arial" w:cs="Arial"/>
          <w:iCs/>
          <w:lang w:eastAsia="en-US"/>
        </w:rPr>
        <w:t>ℓ</w:t>
      </w:r>
      <w:r w:rsidRPr="007A2432">
        <w:rPr>
          <w:rFonts w:eastAsia="Arial" w:cs="Arial"/>
          <w:iCs/>
          <w:vertAlign w:val="subscript"/>
          <w:lang w:eastAsia="en-US"/>
        </w:rPr>
        <w:t>2</w:t>
      </w:r>
      <w:r w:rsidRPr="007A2432">
        <w:rPr>
          <w:rFonts w:eastAsia="Arial" w:cs="Arial"/>
          <w:iCs/>
          <w:lang w:eastAsia="en-US"/>
        </w:rPr>
        <w:t xml:space="preserve">(g) </w:t>
      </w:r>
      <w:r w:rsidRPr="007A2432">
        <w:rPr>
          <w:rFonts w:eastAsia="Arial" w:cs="Arial"/>
          <w:lang w:eastAsia="en-US"/>
        </w:rPr>
        <w:t>dans une solution aqueuse d’hydroxyde de sodium (Na</w:t>
      </w:r>
      <w:r w:rsidRPr="007A2432">
        <w:rPr>
          <w:rFonts w:eastAsia="Arial" w:cs="Arial"/>
          <w:vertAlign w:val="superscript"/>
          <w:lang w:eastAsia="en-US"/>
        </w:rPr>
        <w:t>+</w:t>
      </w:r>
      <w:r w:rsidRPr="007A2432">
        <w:rPr>
          <w:rFonts w:eastAsia="Arial" w:cs="Arial"/>
          <w:lang w:eastAsia="en-US"/>
        </w:rPr>
        <w:t>(aq) + HO</w:t>
      </w:r>
      <w:r w:rsidRPr="007A2432">
        <w:rPr>
          <w:rFonts w:eastAsia="Arial" w:cs="Arial"/>
          <w:vertAlign w:val="superscript"/>
          <w:lang w:eastAsia="en-US"/>
        </w:rPr>
        <w:t>−</w:t>
      </w:r>
      <w:r w:rsidRPr="007A2432">
        <w:rPr>
          <w:rFonts w:eastAsia="Arial" w:cs="Arial"/>
          <w:lang w:eastAsia="en-US"/>
        </w:rPr>
        <w:t>(aq)). La transformation chimique ayant lieu peut être considérée comme totale et elle est modélisée par la réaction d’équation :</w:t>
      </w:r>
    </w:p>
    <w:p w14:paraId="24E1AD97" w14:textId="77777777" w:rsidR="007A2432" w:rsidRPr="007A2432" w:rsidRDefault="007A2432" w:rsidP="007A2432">
      <w:pPr>
        <w:spacing w:after="0" w:line="240" w:lineRule="auto"/>
        <w:ind w:left="0"/>
        <w:rPr>
          <w:rFonts w:eastAsia="Arial" w:cs="Arial"/>
          <w:lang w:eastAsia="en-US"/>
        </w:rPr>
      </w:pPr>
    </w:p>
    <w:p w14:paraId="00CD4576" w14:textId="77777777" w:rsidR="007A2432" w:rsidRPr="007A2432" w:rsidRDefault="007A2432" w:rsidP="007A2432">
      <w:pPr>
        <w:spacing w:after="0" w:line="240" w:lineRule="auto"/>
        <w:ind w:left="0"/>
        <w:jc w:val="center"/>
        <w:rPr>
          <w:rFonts w:eastAsia="Arial" w:cs="Arial"/>
          <w:iCs/>
          <w:szCs w:val="22"/>
          <w:lang w:eastAsia="en-US"/>
        </w:rPr>
      </w:pPr>
      <w:r w:rsidRPr="007A2432">
        <w:rPr>
          <w:rFonts w:eastAsia="Arial" w:cs="Arial"/>
          <w:lang w:eastAsia="en-US"/>
        </w:rPr>
        <w:t>C</w:t>
      </w:r>
      <w:r w:rsidRPr="007A2432">
        <w:rPr>
          <w:rFonts w:eastAsia="Arial" w:cs="Arial"/>
          <w:iCs/>
          <w:lang w:eastAsia="en-US"/>
        </w:rPr>
        <w:t>ℓ</w:t>
      </w:r>
      <w:r w:rsidRPr="007A2432">
        <w:rPr>
          <w:rFonts w:eastAsia="Arial" w:cs="Arial"/>
          <w:iCs/>
          <w:vertAlign w:val="subscript"/>
          <w:lang w:eastAsia="en-US"/>
        </w:rPr>
        <w:t>2</w:t>
      </w:r>
      <w:r w:rsidRPr="007A2432">
        <w:rPr>
          <w:rFonts w:eastAsia="Arial" w:cs="Arial"/>
          <w:iCs/>
          <w:lang w:eastAsia="en-US"/>
        </w:rPr>
        <w:t>(g)</w:t>
      </w:r>
      <w:r w:rsidRPr="007A2432">
        <w:rPr>
          <w:rFonts w:eastAsia="Arial" w:cs="Arial"/>
          <w:iCs/>
          <w:szCs w:val="22"/>
          <w:lang w:eastAsia="en-US"/>
        </w:rPr>
        <w:t>  +  2 </w:t>
      </w:r>
      <w:r w:rsidRPr="007A2432">
        <w:rPr>
          <w:rFonts w:eastAsia="Arial" w:cs="Arial"/>
          <w:lang w:eastAsia="en-US"/>
        </w:rPr>
        <w:t>HO</w:t>
      </w:r>
      <w:r w:rsidRPr="007A2432">
        <w:rPr>
          <w:rFonts w:eastAsia="Arial" w:cs="Arial"/>
          <w:vertAlign w:val="superscript"/>
          <w:lang w:eastAsia="en-US"/>
        </w:rPr>
        <w:t>−</w:t>
      </w:r>
      <w:r w:rsidRPr="007A2432">
        <w:rPr>
          <w:rFonts w:eastAsia="Arial" w:cs="Arial"/>
          <w:lang w:eastAsia="en-US"/>
        </w:rPr>
        <w:t>(aq)</w:t>
      </w:r>
      <w:r w:rsidRPr="007A2432">
        <w:rPr>
          <w:rFonts w:eastAsia="Arial" w:cs="Arial"/>
          <w:szCs w:val="22"/>
          <w:lang w:eastAsia="en-US"/>
        </w:rPr>
        <w:t>  </w:t>
      </w:r>
      <w:r w:rsidRPr="007A2432">
        <w:rPr>
          <w:rFonts w:eastAsia="Arial" w:cs="Arial"/>
          <w:szCs w:val="22"/>
          <w:lang w:eastAsia="en-US"/>
        </w:rPr>
        <w:sym w:font="Wingdings 3" w:char="F022"/>
      </w:r>
      <w:r w:rsidRPr="007A2432">
        <w:rPr>
          <w:rFonts w:eastAsia="Arial" w:cs="Arial"/>
          <w:szCs w:val="22"/>
          <w:lang w:eastAsia="en-US"/>
        </w:rPr>
        <w:t>  C</w:t>
      </w:r>
      <w:r w:rsidRPr="007A2432">
        <w:rPr>
          <w:rFonts w:eastAsia="Arial" w:cs="Arial"/>
          <w:iCs/>
          <w:szCs w:val="22"/>
          <w:lang w:eastAsia="en-US"/>
        </w:rPr>
        <w:t>ℓ</w:t>
      </w:r>
      <w:r w:rsidRPr="007A2432">
        <w:rPr>
          <w:rFonts w:eastAsia="Arial" w:cs="Arial"/>
          <w:szCs w:val="22"/>
          <w:vertAlign w:val="superscript"/>
          <w:lang w:eastAsia="en-US"/>
        </w:rPr>
        <w:t>−</w:t>
      </w:r>
      <w:r w:rsidRPr="007A2432">
        <w:rPr>
          <w:rFonts w:eastAsia="Arial" w:cs="Arial"/>
          <w:szCs w:val="22"/>
          <w:lang w:eastAsia="en-US"/>
        </w:rPr>
        <w:t>(aq)  +  </w:t>
      </w:r>
      <w:r w:rsidRPr="007A2432">
        <w:rPr>
          <w:rFonts w:eastAsia="Arial" w:cs="Arial"/>
          <w:lang w:eastAsia="en-US"/>
        </w:rPr>
        <w:t>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lang w:eastAsia="en-US"/>
        </w:rPr>
        <w:t>(aq)</w:t>
      </w:r>
      <w:r w:rsidRPr="007A2432">
        <w:rPr>
          <w:rFonts w:eastAsia="Arial" w:cs="Arial"/>
          <w:iCs/>
          <w:szCs w:val="22"/>
          <w:lang w:eastAsia="en-US"/>
        </w:rPr>
        <w:t>  +  </w:t>
      </w:r>
      <m:oMath>
        <m:sSub>
          <m:sSubPr>
            <m:ctrlPr>
              <w:rPr>
                <w:rFonts w:ascii="Cambria Math" w:eastAsia="Arial" w:hAnsi="Cambria Math" w:cs="Arial"/>
                <w:i/>
                <w:lang w:eastAsia="en-US"/>
              </w:rPr>
            </m:ctrlPr>
          </m:sSubPr>
          <m:e>
            <m:r>
              <m:rPr>
                <m:nor/>
              </m:rPr>
              <w:rPr>
                <w:rFonts w:eastAsia="Arial" w:cs="Arial"/>
                <w:lang w:eastAsia="en-US"/>
              </w:rPr>
              <m:t>H</m:t>
            </m:r>
          </m:e>
          <m:sub>
            <m:r>
              <m:rPr>
                <m:nor/>
              </m:rPr>
              <w:rPr>
                <w:rFonts w:eastAsia="Arial" w:cs="Arial"/>
                <w:lang w:eastAsia="en-US"/>
              </w:rPr>
              <m:t>2</m:t>
            </m:r>
          </m:sub>
        </m:sSub>
        <m:r>
          <m:rPr>
            <m:nor/>
          </m:rPr>
          <w:rPr>
            <w:rFonts w:eastAsia="Arial" w:cs="Arial"/>
            <w:lang w:eastAsia="en-US"/>
          </w:rPr>
          <m:t>O</m:t>
        </m:r>
      </m:oMath>
      <w:r w:rsidRPr="007A2432">
        <w:rPr>
          <w:rFonts w:eastAsia="Arial" w:cs="Arial"/>
          <w:iCs/>
          <w:szCs w:val="22"/>
          <w:lang w:eastAsia="en-US"/>
        </w:rPr>
        <w:t>(ℓ)</w:t>
      </w:r>
    </w:p>
    <w:p w14:paraId="5DEE7DE8" w14:textId="77777777" w:rsidR="007A2432" w:rsidRPr="007A2432" w:rsidRDefault="007A2432" w:rsidP="007A2432">
      <w:pPr>
        <w:spacing w:after="0" w:line="240" w:lineRule="auto"/>
        <w:ind w:left="0"/>
        <w:rPr>
          <w:rFonts w:eastAsia="Arial" w:cs="Arial"/>
          <w:lang w:eastAsia="en-US"/>
        </w:rPr>
      </w:pPr>
    </w:p>
    <w:p w14:paraId="21611669"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 xml:space="preserve">En France, l’eau de Javel est souvent caractérisée par son degré chlorométrique (° chl) qui correspond au volume, exprimé en litres, de dichlore gazeux nécessaire pour préparer un litre de solution d’eau de Javel. Ce volume est mesuré dans des conditions de température et de pression telles que le volume molaire des gaz est </w:t>
      </w:r>
      <w:r w:rsidRPr="007A2432">
        <w:rPr>
          <w:rFonts w:eastAsia="Arial" w:cs="Arial"/>
          <w:i/>
          <w:lang w:eastAsia="en-US"/>
        </w:rPr>
        <w:t>V</w:t>
      </w:r>
      <w:r w:rsidRPr="007A2432">
        <w:rPr>
          <w:rFonts w:eastAsia="Arial" w:cs="Arial"/>
          <w:vertAlign w:val="subscript"/>
          <w:lang w:eastAsia="en-US"/>
        </w:rPr>
        <w:t>m</w:t>
      </w:r>
      <w:r w:rsidRPr="007A2432">
        <w:rPr>
          <w:rFonts w:eastAsia="Arial" w:cs="Arial"/>
          <w:lang w:eastAsia="en-US"/>
        </w:rPr>
        <w:t> = 22,4 L.mol</w:t>
      </w:r>
      <w:r w:rsidRPr="007A2432">
        <w:rPr>
          <w:rFonts w:eastAsia="Arial" w:cs="Arial"/>
          <w:vertAlign w:val="superscript"/>
          <w:lang w:eastAsia="en-US"/>
        </w:rPr>
        <w:t>−1</w:t>
      </w:r>
      <w:r w:rsidRPr="007A2432">
        <w:rPr>
          <w:rFonts w:eastAsia="Arial" w:cs="Arial"/>
          <w:lang w:eastAsia="en-US"/>
        </w:rPr>
        <w:t>.</w:t>
      </w:r>
    </w:p>
    <w:p w14:paraId="24A57304" w14:textId="77777777" w:rsidR="007A2432" w:rsidRPr="007A2432" w:rsidRDefault="007A2432" w:rsidP="007A2432">
      <w:pPr>
        <w:spacing w:after="0" w:line="240" w:lineRule="auto"/>
        <w:ind w:left="0"/>
        <w:rPr>
          <w:rFonts w:eastAsia="Arial" w:cs="Arial"/>
          <w:lang w:eastAsia="en-US"/>
        </w:rPr>
      </w:pPr>
    </w:p>
    <w:p w14:paraId="7A3A351E" w14:textId="77777777" w:rsidR="007A2432" w:rsidRPr="007A2432" w:rsidRDefault="007A2432" w:rsidP="00594168">
      <w:pPr>
        <w:spacing w:after="0" w:line="240" w:lineRule="auto"/>
        <w:ind w:left="0"/>
        <w:jc w:val="both"/>
        <w:rPr>
          <w:rFonts w:eastAsia="Arial" w:cs="Arial"/>
          <w:szCs w:val="22"/>
          <w:lang w:eastAsia="en-US"/>
        </w:rPr>
      </w:pPr>
      <w:r w:rsidRPr="007A2432">
        <w:rPr>
          <w:rFonts w:eastAsia="Arial" w:cs="Arial"/>
          <w:b/>
          <w:lang w:eastAsia="en-US"/>
        </w:rPr>
        <w:t>1.1.</w:t>
      </w:r>
      <w:r w:rsidRPr="007A2432">
        <w:rPr>
          <w:rFonts w:eastAsia="Arial" w:cs="Arial"/>
          <w:lang w:eastAsia="en-US"/>
        </w:rPr>
        <w:t> </w:t>
      </w:r>
      <w:r w:rsidRPr="007A2432">
        <w:rPr>
          <w:rFonts w:eastAsia="Arial" w:cs="Arial"/>
          <w:szCs w:val="22"/>
          <w:lang w:eastAsia="en-US"/>
        </w:rPr>
        <w:t>Montrer que la concentration en quantité de matière des ions hypochlorite C</w:t>
      </w:r>
      <w:r w:rsidRPr="007A2432">
        <w:rPr>
          <w:rFonts w:eastAsia="Arial" w:cs="Arial"/>
          <w:iCs/>
          <w:szCs w:val="22"/>
          <w:lang w:eastAsia="en-US"/>
        </w:rPr>
        <w:t>ℓO</w:t>
      </w:r>
      <w:r w:rsidRPr="007A2432">
        <w:rPr>
          <w:rFonts w:eastAsia="Arial" w:cs="Arial"/>
          <w:iCs/>
          <w:szCs w:val="22"/>
          <w:vertAlign w:val="superscript"/>
          <w:lang w:eastAsia="en-US"/>
        </w:rPr>
        <w:t>−</w:t>
      </w:r>
      <w:r w:rsidRPr="007A2432">
        <w:rPr>
          <w:rFonts w:eastAsia="Arial" w:cs="Arial"/>
          <w:iCs/>
          <w:szCs w:val="22"/>
          <w:vertAlign w:val="subscript"/>
          <w:lang w:eastAsia="en-US"/>
        </w:rPr>
        <w:t xml:space="preserve">(aq) </w:t>
      </w:r>
      <w:r w:rsidRPr="007A2432">
        <w:rPr>
          <w:rFonts w:eastAsia="Arial" w:cs="Arial"/>
          <w:szCs w:val="22"/>
          <w:lang w:eastAsia="en-US"/>
        </w:rPr>
        <w:t>d’une eau de Javel de titre chlorométrique 9° chl est de 0,4 mol.L</w:t>
      </w:r>
      <w:r w:rsidRPr="007A2432">
        <w:rPr>
          <w:rFonts w:eastAsia="Arial" w:cs="Arial"/>
          <w:szCs w:val="22"/>
          <w:vertAlign w:val="superscript"/>
          <w:lang w:eastAsia="en-US"/>
        </w:rPr>
        <w:t>−1</w:t>
      </w:r>
      <w:r w:rsidRPr="007A2432">
        <w:rPr>
          <w:rFonts w:eastAsia="Arial" w:cs="Arial"/>
          <w:szCs w:val="22"/>
          <w:lang w:eastAsia="en-US"/>
        </w:rPr>
        <w:t>.</w:t>
      </w:r>
    </w:p>
    <w:p w14:paraId="2614C9D8" w14:textId="77777777" w:rsidR="007A2432" w:rsidRPr="007A2432" w:rsidRDefault="007A2432" w:rsidP="007A2432">
      <w:pPr>
        <w:spacing w:after="0" w:line="240" w:lineRule="auto"/>
        <w:ind w:left="0"/>
        <w:rPr>
          <w:rFonts w:eastAsia="Arial" w:cs="Arial"/>
          <w:szCs w:val="22"/>
          <w:lang w:eastAsia="en-US"/>
        </w:rPr>
      </w:pPr>
    </w:p>
    <w:p w14:paraId="06902662"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1.2.</w:t>
      </w:r>
      <w:r w:rsidRPr="007A2432">
        <w:rPr>
          <w:rFonts w:eastAsia="Arial" w:cs="Arial"/>
          <w:lang w:eastAsia="en-US"/>
        </w:rPr>
        <w:t> Justifier le protocole de dilution indiqué sur l’étiquette d’un berlingot de « JAVEL CONCENTRÉE » pour obtenir une eau de Javel prête à l’emploi.</w:t>
      </w:r>
    </w:p>
    <w:p w14:paraId="631D38F1" w14:textId="77777777" w:rsidR="007A2432" w:rsidRPr="007A2432" w:rsidRDefault="007A2432" w:rsidP="007A2432">
      <w:pPr>
        <w:spacing w:after="0" w:line="240" w:lineRule="auto"/>
        <w:ind w:left="0"/>
        <w:rPr>
          <w:rFonts w:eastAsia="Arial" w:cs="Arial"/>
          <w:lang w:eastAsia="en-US"/>
        </w:rPr>
      </w:pPr>
    </w:p>
    <w:p w14:paraId="731E705B" w14:textId="77777777" w:rsidR="007A2432" w:rsidRPr="007A2432" w:rsidRDefault="007A2432" w:rsidP="007A2432">
      <w:pPr>
        <w:spacing w:after="0" w:line="240" w:lineRule="auto"/>
        <w:ind w:left="0"/>
        <w:rPr>
          <w:rFonts w:eastAsia="Arial" w:cs="Arial"/>
          <w:b/>
          <w:lang w:eastAsia="en-US"/>
        </w:rPr>
      </w:pPr>
      <w:r w:rsidRPr="007A2432">
        <w:rPr>
          <w:rFonts w:eastAsia="Arial" w:cs="Arial"/>
          <w:b/>
          <w:lang w:eastAsia="en-US"/>
        </w:rPr>
        <w:t>2. Limite de conservation des eaux de Javel</w:t>
      </w:r>
    </w:p>
    <w:p w14:paraId="71C94818" w14:textId="77777777" w:rsidR="007A2432" w:rsidRPr="007A2432" w:rsidRDefault="007A2432" w:rsidP="007A2432">
      <w:pPr>
        <w:spacing w:after="0" w:line="240" w:lineRule="auto"/>
        <w:ind w:left="0"/>
        <w:rPr>
          <w:rFonts w:eastAsia="Arial" w:cs="Arial"/>
          <w:lang w:eastAsia="en-US"/>
        </w:rPr>
      </w:pPr>
    </w:p>
    <w:p w14:paraId="51DFB648" w14:textId="77777777" w:rsidR="007A2432" w:rsidRPr="007A2432" w:rsidRDefault="007A2432" w:rsidP="00594168">
      <w:pPr>
        <w:spacing w:after="0" w:line="240" w:lineRule="auto"/>
        <w:ind w:left="0"/>
        <w:jc w:val="both"/>
        <w:rPr>
          <w:rFonts w:eastAsia="Arial" w:cs="Arial"/>
          <w:iCs/>
          <w:lang w:eastAsia="en-US"/>
        </w:rPr>
      </w:pPr>
      <w:r w:rsidRPr="007A2432">
        <w:rPr>
          <w:rFonts w:eastAsia="Arial" w:cs="Arial"/>
          <w:lang w:eastAsia="en-US"/>
        </w:rPr>
        <w:t>L’ion hypochlorite 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lang w:eastAsia="en-US"/>
        </w:rPr>
        <w:t xml:space="preserve">(aq) </w:t>
      </w:r>
      <w:r w:rsidRPr="007A2432">
        <w:rPr>
          <w:rFonts w:eastAsia="Arial" w:cs="Arial"/>
          <w:lang w:eastAsia="en-US"/>
        </w:rPr>
        <w:t>en solution aqueuse est fortement oxydant et capable d’oxyder l’eau elle-même. On peut modéliser cette transformation à partir des deux couples oxydant -réducteur suivants : 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lang w:eastAsia="en-US"/>
        </w:rPr>
        <w:t>(aq) / </w:t>
      </w:r>
      <w:r w:rsidRPr="007A2432">
        <w:rPr>
          <w:rFonts w:eastAsia="Arial" w:cs="Arial"/>
          <w:lang w:eastAsia="en-US"/>
        </w:rPr>
        <w:t>C</w:t>
      </w:r>
      <w:r w:rsidRPr="007A2432">
        <w:rPr>
          <w:rFonts w:eastAsia="Arial" w:cs="Arial"/>
          <w:iCs/>
          <w:lang w:eastAsia="en-US"/>
        </w:rPr>
        <w:t>ℓ</w:t>
      </w:r>
      <w:r w:rsidRPr="007A2432">
        <w:rPr>
          <w:rFonts w:eastAsia="Arial" w:cs="Arial"/>
          <w:vertAlign w:val="superscript"/>
          <w:lang w:eastAsia="en-US"/>
        </w:rPr>
        <w:t>−</w:t>
      </w:r>
      <w:r w:rsidRPr="007A2432">
        <w:rPr>
          <w:rFonts w:eastAsia="Arial" w:cs="Arial"/>
          <w:lang w:eastAsia="en-US"/>
        </w:rPr>
        <w:t xml:space="preserve">(aq) et </w:t>
      </w:r>
      <m:oMath>
        <m:sSub>
          <m:sSubPr>
            <m:ctrlPr>
              <w:rPr>
                <w:rFonts w:ascii="Cambria Math" w:eastAsia="Times New Roman" w:hAnsi="Cambria Math" w:cs="Arial"/>
                <w:i/>
                <w:lang w:eastAsia="en-US"/>
              </w:rPr>
            </m:ctrlPr>
          </m:sSubPr>
          <m:e>
            <m:r>
              <m:rPr>
                <m:nor/>
              </m:rPr>
              <w:rPr>
                <w:rFonts w:eastAsia="Times New Roman" w:cs="Arial"/>
                <w:lang w:eastAsia="en-US"/>
              </w:rPr>
              <m:t>O</m:t>
            </m:r>
          </m:e>
          <m:sub>
            <m:r>
              <m:rPr>
                <m:nor/>
              </m:rPr>
              <w:rPr>
                <w:rFonts w:eastAsia="Times New Roman" w:cs="Arial"/>
                <w:lang w:eastAsia="en-US"/>
              </w:rPr>
              <m:t>2</m:t>
            </m:r>
          </m:sub>
        </m:sSub>
      </m:oMath>
      <w:r w:rsidRPr="007A2432">
        <w:rPr>
          <w:rFonts w:eastAsia="Times New Roman" w:cs="Arial"/>
          <w:lang w:eastAsia="en-US"/>
        </w:rPr>
        <w:t>(g)</w:t>
      </w:r>
      <w:r w:rsidRPr="007A2432">
        <w:rPr>
          <w:rFonts w:eastAsia="Arial" w:cs="Arial"/>
          <w:lang w:eastAsia="en-US"/>
        </w:rPr>
        <w:t> / </w:t>
      </w:r>
      <m:oMath>
        <m:sSub>
          <m:sSubPr>
            <m:ctrlPr>
              <w:rPr>
                <w:rFonts w:ascii="Cambria Math" w:eastAsia="Arial" w:hAnsi="Cambria Math" w:cs="Arial"/>
                <w:i/>
                <w:lang w:eastAsia="en-US"/>
              </w:rPr>
            </m:ctrlPr>
          </m:sSubPr>
          <m:e>
            <m:r>
              <m:rPr>
                <m:nor/>
              </m:rPr>
              <w:rPr>
                <w:rFonts w:eastAsia="Arial" w:cs="Arial"/>
                <w:lang w:eastAsia="en-US"/>
              </w:rPr>
              <m:t>H</m:t>
            </m:r>
          </m:e>
          <m:sub>
            <m:r>
              <m:rPr>
                <m:nor/>
              </m:rPr>
              <w:rPr>
                <w:rFonts w:eastAsia="Arial" w:cs="Arial"/>
                <w:lang w:eastAsia="en-US"/>
              </w:rPr>
              <m:t>2</m:t>
            </m:r>
          </m:sub>
        </m:sSub>
        <m:r>
          <m:rPr>
            <m:nor/>
          </m:rPr>
          <w:rPr>
            <w:rFonts w:eastAsia="Arial" w:cs="Arial"/>
            <w:lang w:eastAsia="en-US"/>
          </w:rPr>
          <m:t>O</m:t>
        </m:r>
      </m:oMath>
      <w:r w:rsidRPr="007A2432">
        <w:rPr>
          <w:rFonts w:eastAsia="Arial" w:cs="Arial"/>
          <w:iCs/>
          <w:szCs w:val="22"/>
          <w:lang w:eastAsia="en-US"/>
        </w:rPr>
        <w:t>(ℓ)</w:t>
      </w:r>
      <w:r w:rsidRPr="007A2432">
        <w:rPr>
          <w:rFonts w:eastAsia="Arial" w:cs="Arial"/>
          <w:iCs/>
          <w:lang w:eastAsia="en-US"/>
        </w:rPr>
        <w:t>. Cette transformation, plus ou moins lente en fonction de certains paramètres, impose une limite de durée d’utilisation aux eaux de Javel.</w:t>
      </w:r>
    </w:p>
    <w:p w14:paraId="0E60C1D9" w14:textId="77777777" w:rsidR="007A2432" w:rsidRPr="007A2432" w:rsidRDefault="007A2432" w:rsidP="007A2432">
      <w:pPr>
        <w:spacing w:after="0" w:line="240" w:lineRule="auto"/>
        <w:ind w:left="0"/>
        <w:rPr>
          <w:rFonts w:eastAsia="Arial" w:cs="Arial"/>
          <w:iCs/>
          <w:lang w:eastAsia="en-US"/>
        </w:rPr>
      </w:pPr>
    </w:p>
    <w:p w14:paraId="30F96592"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2.1.</w:t>
      </w:r>
      <w:r w:rsidRPr="007A2432">
        <w:rPr>
          <w:rFonts w:eastAsia="Arial" w:cs="Arial"/>
          <w:lang w:eastAsia="en-US"/>
        </w:rPr>
        <w:t> Établir l’équation de la réaction d’oxydo-réduction modélisant l’oxydation de l’eau par les ions hypochlorite. Justifier le rôle oxydant de l’ion hypochlorite.</w:t>
      </w:r>
    </w:p>
    <w:p w14:paraId="6ABA4D4E" w14:textId="77777777" w:rsidR="007A2432" w:rsidRPr="007A2432" w:rsidRDefault="007A2432" w:rsidP="007A2432">
      <w:pPr>
        <w:spacing w:after="0" w:line="240" w:lineRule="auto"/>
        <w:ind w:left="0"/>
        <w:rPr>
          <w:rFonts w:eastAsia="Arial" w:cs="Arial"/>
          <w:lang w:eastAsia="en-US"/>
        </w:rPr>
      </w:pPr>
    </w:p>
    <w:p w14:paraId="08349D2E"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2.2</w:t>
      </w:r>
      <w:r w:rsidRPr="007A2432">
        <w:rPr>
          <w:rFonts w:eastAsia="Arial" w:cs="Arial"/>
          <w:lang w:eastAsia="en-US"/>
        </w:rPr>
        <w:t>. Indiquer comment évolue le degré chlorométrique d’une eau de Javel dans le temps. Justifier la réponse.</w:t>
      </w:r>
    </w:p>
    <w:p w14:paraId="657E9A24" w14:textId="77777777" w:rsidR="007A2432" w:rsidRPr="007A2432" w:rsidRDefault="007A2432" w:rsidP="007A2432">
      <w:pPr>
        <w:spacing w:after="0" w:line="240" w:lineRule="auto"/>
        <w:ind w:left="0"/>
        <w:rPr>
          <w:rFonts w:eastAsia="Arial" w:cs="Arial"/>
          <w:lang w:eastAsia="en-US"/>
        </w:rPr>
      </w:pPr>
    </w:p>
    <w:p w14:paraId="44EC4C44"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2.3.</w:t>
      </w:r>
      <w:r w:rsidRPr="007A2432">
        <w:rPr>
          <w:rFonts w:eastAsia="Arial" w:cs="Arial"/>
          <w:lang w:eastAsia="en-US"/>
        </w:rPr>
        <w:t> D’après les indications fournies par le fabricant, identifier trois facteurs qui influent sur la dégradation de l’eau de Javel.</w:t>
      </w:r>
    </w:p>
    <w:p w14:paraId="3836A9D7" w14:textId="77777777" w:rsidR="007A2432" w:rsidRPr="007A2432" w:rsidRDefault="007A2432" w:rsidP="007A2432">
      <w:pPr>
        <w:spacing w:after="0" w:line="240" w:lineRule="auto"/>
        <w:ind w:left="0"/>
        <w:rPr>
          <w:rFonts w:eastAsia="Arial" w:cs="Arial"/>
          <w:lang w:eastAsia="en-US"/>
        </w:rPr>
      </w:pPr>
    </w:p>
    <w:p w14:paraId="241E6E7B" w14:textId="77777777" w:rsidR="007A2432" w:rsidRPr="007A2432" w:rsidRDefault="007A2432" w:rsidP="007A2432">
      <w:pPr>
        <w:spacing w:after="0" w:line="240" w:lineRule="auto"/>
        <w:ind w:left="0"/>
        <w:rPr>
          <w:rFonts w:eastAsia="Arial" w:cs="Arial"/>
          <w:b/>
          <w:lang w:eastAsia="en-US"/>
        </w:rPr>
      </w:pPr>
      <w:r w:rsidRPr="007A2432">
        <w:rPr>
          <w:rFonts w:eastAsia="Arial" w:cs="Arial"/>
          <w:b/>
          <w:lang w:eastAsia="en-US"/>
        </w:rPr>
        <w:t>3. Titrage d’une eau de Javel prête à l’emploi</w:t>
      </w:r>
    </w:p>
    <w:p w14:paraId="3E812233" w14:textId="77777777" w:rsidR="007A2432" w:rsidRPr="007A2432" w:rsidRDefault="007A2432" w:rsidP="007A2432">
      <w:pPr>
        <w:spacing w:after="0" w:line="240" w:lineRule="auto"/>
        <w:ind w:left="0"/>
        <w:rPr>
          <w:rFonts w:eastAsia="Arial" w:cs="Arial"/>
          <w:lang w:eastAsia="en-US"/>
        </w:rPr>
      </w:pPr>
    </w:p>
    <w:p w14:paraId="7B09DD3C"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On se propose de contrôler expérimentalement la concentration en ions hypochlorite 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lang w:eastAsia="en-US"/>
        </w:rPr>
        <w:t xml:space="preserve">(aq) présents dans </w:t>
      </w:r>
      <w:r w:rsidRPr="007A2432">
        <w:rPr>
          <w:rFonts w:eastAsia="Arial" w:cs="Arial"/>
          <w:lang w:eastAsia="en-US"/>
        </w:rPr>
        <w:t>une solution S d’eau de JAVEL achetée en flacon de 2 L.</w:t>
      </w:r>
    </w:p>
    <w:p w14:paraId="4479376A"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Pour cela, on procède au titrage de la solution S par une méthode indirecte dont les étapes sont décrites ci-après.</w:t>
      </w:r>
    </w:p>
    <w:p w14:paraId="794FB7A5" w14:textId="77777777" w:rsidR="007A2432" w:rsidRPr="007A2432" w:rsidRDefault="007A2432" w:rsidP="007A2432">
      <w:pPr>
        <w:spacing w:after="0" w:line="240" w:lineRule="auto"/>
        <w:ind w:left="0"/>
        <w:rPr>
          <w:rFonts w:eastAsia="Arial" w:cs="Arial"/>
          <w:lang w:eastAsia="en-US"/>
        </w:rPr>
      </w:pPr>
    </w:p>
    <w:p w14:paraId="0245227E" w14:textId="77777777" w:rsidR="007A2432" w:rsidRPr="007A2432" w:rsidRDefault="007A2432" w:rsidP="007A2432">
      <w:pPr>
        <w:spacing w:after="0" w:line="240" w:lineRule="auto"/>
        <w:ind w:left="0"/>
        <w:rPr>
          <w:rFonts w:eastAsia="Arial" w:cs="Arial"/>
          <w:lang w:eastAsia="en-US"/>
        </w:rPr>
      </w:pPr>
      <w:r w:rsidRPr="007A2432">
        <w:rPr>
          <w:rFonts w:eastAsia="Arial" w:cs="Arial"/>
          <w:lang w:eastAsia="en-US"/>
        </w:rPr>
        <w:t>Étape 1 :</w:t>
      </w:r>
    </w:p>
    <w:p w14:paraId="3148DE51" w14:textId="77777777" w:rsidR="007A2432" w:rsidRPr="007A2432" w:rsidRDefault="007A2432" w:rsidP="00594168">
      <w:pPr>
        <w:spacing w:after="0" w:line="240" w:lineRule="auto"/>
        <w:ind w:left="0"/>
        <w:jc w:val="both"/>
        <w:rPr>
          <w:rFonts w:eastAsia="Arial" w:cs="Arial"/>
          <w:szCs w:val="22"/>
          <w:lang w:eastAsia="en-US"/>
        </w:rPr>
      </w:pPr>
      <w:r w:rsidRPr="007A2432">
        <w:rPr>
          <w:rFonts w:eastAsia="Arial" w:cs="Arial"/>
          <w:szCs w:val="22"/>
          <w:lang w:eastAsia="en-US"/>
        </w:rPr>
        <w:t>La solution S étant trop concentrée pour être dosée directement, on effectue une dilution au dixième afin d’obtenir un volume de 50,0 mL de solution diluée notée S’.</w:t>
      </w:r>
    </w:p>
    <w:p w14:paraId="53859927" w14:textId="77777777" w:rsidR="007A2432" w:rsidRPr="007A2432" w:rsidRDefault="007A2432" w:rsidP="007A2432">
      <w:pPr>
        <w:spacing w:after="0" w:line="240" w:lineRule="auto"/>
        <w:ind w:left="0"/>
        <w:rPr>
          <w:rFonts w:eastAsia="Arial" w:cs="Arial"/>
          <w:szCs w:val="22"/>
          <w:lang w:eastAsia="en-US"/>
        </w:rPr>
      </w:pPr>
    </w:p>
    <w:p w14:paraId="475141D6" w14:textId="77777777" w:rsidR="007A2432" w:rsidRPr="007A2432" w:rsidRDefault="007A2432" w:rsidP="007A2432">
      <w:pPr>
        <w:spacing w:after="0" w:line="240" w:lineRule="auto"/>
        <w:ind w:left="0"/>
        <w:rPr>
          <w:rFonts w:eastAsia="Arial" w:cs="Arial"/>
          <w:szCs w:val="22"/>
          <w:lang w:eastAsia="en-US"/>
        </w:rPr>
      </w:pPr>
      <w:r w:rsidRPr="007A2432">
        <w:rPr>
          <w:rFonts w:eastAsia="Arial" w:cs="Arial"/>
          <w:szCs w:val="22"/>
          <w:lang w:eastAsia="en-US"/>
        </w:rPr>
        <w:t>Étape 2 :</w:t>
      </w:r>
    </w:p>
    <w:p w14:paraId="13579253"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Dans un erlenmeyer de 150 mL, on introduit dans l’ordre :</w:t>
      </w:r>
    </w:p>
    <w:p w14:paraId="21953CFE" w14:textId="77777777" w:rsidR="007A2432" w:rsidRPr="007A2432" w:rsidRDefault="007A2432" w:rsidP="00594168">
      <w:pPr>
        <w:numPr>
          <w:ilvl w:val="0"/>
          <w:numId w:val="2"/>
        </w:numPr>
        <w:spacing w:after="0" w:line="240" w:lineRule="auto"/>
        <w:contextualSpacing/>
        <w:jc w:val="both"/>
        <w:rPr>
          <w:rFonts w:eastAsia="Arial" w:cs="Arial"/>
          <w:lang w:eastAsia="en-US"/>
        </w:rPr>
      </w:pPr>
      <w:r w:rsidRPr="007A2432">
        <w:rPr>
          <w:rFonts w:eastAsia="Arial" w:cs="Arial"/>
          <w:lang w:eastAsia="en-US"/>
        </w:rPr>
        <w:t>un volume V’ = 10,0 mL de solution S’ ;</w:t>
      </w:r>
    </w:p>
    <w:p w14:paraId="755190A5" w14:textId="77777777" w:rsidR="007A2432" w:rsidRPr="007A2432" w:rsidRDefault="007A2432" w:rsidP="00594168">
      <w:pPr>
        <w:numPr>
          <w:ilvl w:val="0"/>
          <w:numId w:val="2"/>
        </w:numPr>
        <w:spacing w:after="0" w:line="240" w:lineRule="auto"/>
        <w:contextualSpacing/>
        <w:jc w:val="both"/>
        <w:rPr>
          <w:rFonts w:eastAsia="Arial" w:cs="Arial"/>
          <w:lang w:eastAsia="en-US"/>
        </w:rPr>
      </w:pPr>
      <w:r w:rsidRPr="007A2432">
        <w:rPr>
          <w:rFonts w:eastAsia="Arial" w:cs="Arial"/>
          <w:lang w:eastAsia="en-US"/>
        </w:rPr>
        <w:t>20 mL d’une solution aqueuse d’iodure de potassium (K</w:t>
      </w:r>
      <w:r w:rsidRPr="007A2432">
        <w:rPr>
          <w:rFonts w:eastAsia="Arial" w:cs="Arial"/>
          <w:vertAlign w:val="superscript"/>
          <w:lang w:eastAsia="en-US"/>
        </w:rPr>
        <w:t>+</w:t>
      </w:r>
      <w:r w:rsidRPr="007A2432">
        <w:rPr>
          <w:rFonts w:eastAsia="Arial" w:cs="Arial"/>
          <w:vertAlign w:val="subscript"/>
          <w:lang w:eastAsia="en-US"/>
        </w:rPr>
        <w:t>(aq)</w:t>
      </w:r>
      <w:r w:rsidRPr="007A2432">
        <w:rPr>
          <w:rFonts w:eastAsia="Arial" w:cs="Arial"/>
          <w:lang w:eastAsia="en-US"/>
        </w:rPr>
        <w:t> + I</w:t>
      </w:r>
      <w:r w:rsidRPr="007A2432">
        <w:rPr>
          <w:rFonts w:eastAsia="Arial" w:cs="Arial"/>
          <w:vertAlign w:val="superscript"/>
          <w:lang w:eastAsia="en-US"/>
        </w:rPr>
        <w:t>−</w:t>
      </w:r>
      <w:r w:rsidRPr="007A2432">
        <w:rPr>
          <w:rFonts w:eastAsia="Arial" w:cs="Arial"/>
          <w:vertAlign w:val="subscript"/>
          <w:lang w:eastAsia="en-US"/>
        </w:rPr>
        <w:t>(aq)</w:t>
      </w:r>
      <w:r w:rsidRPr="007A2432">
        <w:rPr>
          <w:rFonts w:eastAsia="Arial" w:cs="Arial"/>
          <w:lang w:eastAsia="en-US"/>
        </w:rPr>
        <w:t>) de concentration effective en ions iodure [I</w:t>
      </w:r>
      <w:r w:rsidRPr="007A2432">
        <w:rPr>
          <w:rFonts w:eastAsia="Arial" w:cs="Arial"/>
          <w:vertAlign w:val="superscript"/>
          <w:lang w:eastAsia="en-US"/>
        </w:rPr>
        <w:t>−</w:t>
      </w:r>
      <w:r w:rsidRPr="007A2432">
        <w:rPr>
          <w:rFonts w:eastAsia="Arial" w:cs="Arial"/>
          <w:vertAlign w:val="subscript"/>
          <w:lang w:eastAsia="en-US"/>
        </w:rPr>
        <w:t>(aq)</w:t>
      </w:r>
      <w:r w:rsidRPr="007A2432">
        <w:rPr>
          <w:rFonts w:eastAsia="Arial" w:cs="Arial"/>
          <w:lang w:eastAsia="en-US"/>
        </w:rPr>
        <w:t>] = 0,10 mol.L</w:t>
      </w:r>
      <w:r w:rsidRPr="007A2432">
        <w:rPr>
          <w:rFonts w:eastAsia="Arial" w:cs="Arial"/>
          <w:vertAlign w:val="superscript"/>
          <w:lang w:eastAsia="en-US"/>
        </w:rPr>
        <w:t>−1</w:t>
      </w:r>
      <w:r w:rsidRPr="007A2432">
        <w:rPr>
          <w:rFonts w:eastAsia="Arial" w:cs="Arial"/>
          <w:lang w:eastAsia="en-US"/>
        </w:rPr>
        <w:t> ;</w:t>
      </w:r>
    </w:p>
    <w:p w14:paraId="552708DE" w14:textId="77777777" w:rsidR="007A2432" w:rsidRPr="007A2432" w:rsidRDefault="007A2432" w:rsidP="007A2432">
      <w:pPr>
        <w:numPr>
          <w:ilvl w:val="0"/>
          <w:numId w:val="2"/>
        </w:numPr>
        <w:spacing w:after="0" w:line="240" w:lineRule="auto"/>
        <w:contextualSpacing/>
        <w:rPr>
          <w:rFonts w:eastAsia="Arial" w:cs="Arial"/>
          <w:lang w:eastAsia="en-US"/>
        </w:rPr>
      </w:pPr>
      <w:r w:rsidRPr="007A2432">
        <w:rPr>
          <w:rFonts w:eastAsia="Arial" w:cs="Arial"/>
          <w:lang w:eastAsia="en-US"/>
        </w:rPr>
        <w:t>quelques gouttes d’acide sulfurique concentré.</w:t>
      </w:r>
    </w:p>
    <w:p w14:paraId="558C2150" w14:textId="7F1141EE" w:rsidR="00594168" w:rsidRDefault="00594168">
      <w:pPr>
        <w:spacing w:after="0" w:line="240" w:lineRule="auto"/>
        <w:ind w:left="0"/>
        <w:rPr>
          <w:rFonts w:eastAsia="Arial" w:cs="Arial"/>
          <w:lang w:eastAsia="en-US"/>
        </w:rPr>
      </w:pPr>
      <w:r>
        <w:rPr>
          <w:rFonts w:eastAsia="Arial" w:cs="Arial"/>
          <w:lang w:eastAsia="en-US"/>
        </w:rPr>
        <w:br w:type="page"/>
      </w:r>
    </w:p>
    <w:p w14:paraId="7BE6CCC8"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lastRenderedPageBreak/>
        <w:t>La transformation chimique ayant lieu lors de cette étape peut être modélisée par la réaction d’équation :</w:t>
      </w:r>
    </w:p>
    <w:p w14:paraId="604B02E0" w14:textId="77777777" w:rsidR="007A2432" w:rsidRPr="007A2432" w:rsidRDefault="007A2432" w:rsidP="007A2432">
      <w:pPr>
        <w:spacing w:after="0" w:line="240" w:lineRule="auto"/>
        <w:ind w:left="0"/>
        <w:rPr>
          <w:rFonts w:eastAsia="Arial" w:cs="Arial"/>
          <w:lang w:eastAsia="en-US"/>
        </w:rPr>
      </w:pPr>
    </w:p>
    <w:p w14:paraId="38BA2CB5" w14:textId="77777777" w:rsidR="007A2432" w:rsidRPr="007A2432" w:rsidRDefault="007A2432" w:rsidP="007A2432">
      <w:pPr>
        <w:spacing w:after="0" w:line="240" w:lineRule="auto"/>
        <w:ind w:left="0"/>
        <w:jc w:val="center"/>
        <w:rPr>
          <w:rFonts w:eastAsia="Arial" w:cs="Arial"/>
          <w:iCs/>
          <w:szCs w:val="22"/>
          <w:lang w:eastAsia="en-US"/>
        </w:rPr>
      </w:pPr>
      <w:r w:rsidRPr="007A2432">
        <w:rPr>
          <w:rFonts w:eastAsia="Arial" w:cs="Arial"/>
          <w:lang w:eastAsia="en-US"/>
        </w:rPr>
        <w:t>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lang w:eastAsia="en-US"/>
        </w:rPr>
        <w:t>(aq)  +  2 </w:t>
      </w:r>
      <w:r w:rsidRPr="007A2432">
        <w:rPr>
          <w:rFonts w:eastAsia="Times New Roman" w:cs="Arial"/>
          <w:lang w:eastAsia="en-US"/>
        </w:rPr>
        <w:t>I</w:t>
      </w:r>
      <w:r w:rsidRPr="007A2432">
        <w:rPr>
          <w:rFonts w:eastAsia="Arial" w:cs="Arial"/>
          <w:vertAlign w:val="superscript"/>
          <w:lang w:eastAsia="en-US"/>
        </w:rPr>
        <w:t>−</w:t>
      </w:r>
      <w:r w:rsidRPr="007A2432">
        <w:rPr>
          <w:rFonts w:eastAsia="Arial" w:cs="Arial"/>
          <w:lang w:eastAsia="en-US"/>
        </w:rPr>
        <w:t>(aq)  +  2 H</w:t>
      </w:r>
      <w:r w:rsidRPr="007A2432">
        <w:rPr>
          <w:rFonts w:eastAsia="Arial" w:cs="Arial"/>
          <w:vertAlign w:val="superscript"/>
          <w:lang w:eastAsia="en-US"/>
        </w:rPr>
        <w:t>+</w:t>
      </w:r>
      <w:r w:rsidRPr="007A2432">
        <w:rPr>
          <w:rFonts w:eastAsia="Arial" w:cs="Arial"/>
          <w:lang w:eastAsia="en-US"/>
        </w:rPr>
        <w:t>(aq)  </w:t>
      </w:r>
      <w:r w:rsidRPr="007A2432">
        <w:rPr>
          <w:rFonts w:eastAsia="Arial" w:cs="Arial"/>
          <w:lang w:eastAsia="en-US"/>
        </w:rPr>
        <w:sym w:font="Wingdings 3" w:char="F022"/>
      </w:r>
      <w:r w:rsidRPr="007A2432">
        <w:rPr>
          <w:rFonts w:eastAsia="Arial" w:cs="Arial"/>
          <w:lang w:eastAsia="en-US"/>
        </w:rPr>
        <w:t>  C</w:t>
      </w:r>
      <w:r w:rsidRPr="007A2432">
        <w:rPr>
          <w:rFonts w:eastAsia="Arial" w:cs="Arial"/>
          <w:iCs/>
          <w:lang w:eastAsia="en-US"/>
        </w:rPr>
        <w:t>ℓ</w:t>
      </w:r>
      <w:r w:rsidRPr="007A2432">
        <w:rPr>
          <w:rFonts w:eastAsia="Arial" w:cs="Arial"/>
          <w:vertAlign w:val="superscript"/>
          <w:lang w:eastAsia="en-US"/>
        </w:rPr>
        <w:t>−</w:t>
      </w:r>
      <w:r w:rsidRPr="007A2432">
        <w:rPr>
          <w:rFonts w:eastAsia="Arial" w:cs="Arial"/>
          <w:lang w:eastAsia="en-US"/>
        </w:rPr>
        <w:t>(aq)  +  </w:t>
      </w:r>
      <m:oMath>
        <m:sSub>
          <m:sSubPr>
            <m:ctrlPr>
              <w:rPr>
                <w:rFonts w:ascii="Cambria Math" w:eastAsia="Times New Roman" w:hAnsi="Cambria Math" w:cs="Arial"/>
                <w:i/>
                <w:lang w:eastAsia="en-US"/>
              </w:rPr>
            </m:ctrlPr>
          </m:sSubPr>
          <m:e>
            <m:r>
              <m:rPr>
                <m:nor/>
              </m:rPr>
              <w:rPr>
                <w:rFonts w:eastAsia="Times New Roman" w:cs="Arial"/>
                <w:lang w:eastAsia="en-US"/>
              </w:rPr>
              <m:t>I</m:t>
            </m:r>
          </m:e>
          <m:sub>
            <m:r>
              <m:rPr>
                <m:nor/>
              </m:rPr>
              <w:rPr>
                <w:rFonts w:eastAsia="Times New Roman" w:cs="Arial"/>
                <w:lang w:eastAsia="en-US"/>
              </w:rPr>
              <m:t>2</m:t>
            </m:r>
          </m:sub>
        </m:sSub>
      </m:oMath>
      <w:r w:rsidRPr="007A2432">
        <w:rPr>
          <w:rFonts w:eastAsia="Times New Roman" w:cs="Arial"/>
          <w:lang w:eastAsia="en-US"/>
        </w:rPr>
        <w:t>(aq)</w:t>
      </w:r>
      <w:r w:rsidRPr="007A2432">
        <w:rPr>
          <w:rFonts w:eastAsia="Arial" w:cs="Arial"/>
          <w:lang w:eastAsia="en-US"/>
        </w:rPr>
        <w:t>  +  </w:t>
      </w:r>
      <m:oMath>
        <m:sSub>
          <m:sSubPr>
            <m:ctrlPr>
              <w:rPr>
                <w:rFonts w:ascii="Cambria Math" w:eastAsia="Arial" w:hAnsi="Cambria Math" w:cs="Arial"/>
                <w:i/>
                <w:lang w:eastAsia="en-US"/>
              </w:rPr>
            </m:ctrlPr>
          </m:sSubPr>
          <m:e>
            <m:r>
              <m:rPr>
                <m:nor/>
              </m:rPr>
              <w:rPr>
                <w:rFonts w:eastAsia="Arial" w:cs="Arial"/>
                <w:lang w:eastAsia="en-US"/>
              </w:rPr>
              <m:t>H</m:t>
            </m:r>
          </m:e>
          <m:sub>
            <m:r>
              <m:rPr>
                <m:nor/>
              </m:rPr>
              <w:rPr>
                <w:rFonts w:eastAsia="Arial" w:cs="Arial"/>
                <w:lang w:eastAsia="en-US"/>
              </w:rPr>
              <m:t>2</m:t>
            </m:r>
          </m:sub>
        </m:sSub>
        <m:r>
          <m:rPr>
            <m:nor/>
          </m:rPr>
          <w:rPr>
            <w:rFonts w:eastAsia="Arial" w:cs="Arial"/>
            <w:lang w:eastAsia="en-US"/>
          </w:rPr>
          <m:t>O</m:t>
        </m:r>
      </m:oMath>
      <w:r w:rsidRPr="007A2432">
        <w:rPr>
          <w:rFonts w:eastAsia="Arial" w:cs="Arial"/>
          <w:iCs/>
          <w:szCs w:val="22"/>
          <w:lang w:eastAsia="en-US"/>
        </w:rPr>
        <w:t>(ℓ)</w:t>
      </w:r>
    </w:p>
    <w:p w14:paraId="5951F3B8" w14:textId="77777777" w:rsidR="007A2432" w:rsidRPr="007A2432" w:rsidRDefault="007A2432" w:rsidP="007A2432">
      <w:pPr>
        <w:spacing w:after="0" w:line="240" w:lineRule="auto"/>
        <w:ind w:left="0"/>
        <w:rPr>
          <w:rFonts w:eastAsia="Arial" w:cs="Arial"/>
          <w:iCs/>
          <w:szCs w:val="22"/>
          <w:lang w:eastAsia="en-US"/>
        </w:rPr>
      </w:pPr>
    </w:p>
    <w:p w14:paraId="37FFBD20" w14:textId="77777777" w:rsidR="007A2432" w:rsidRPr="007A2432" w:rsidRDefault="007A2432" w:rsidP="00594168">
      <w:pPr>
        <w:spacing w:after="0" w:line="240" w:lineRule="auto"/>
        <w:ind w:left="0"/>
        <w:jc w:val="both"/>
        <w:rPr>
          <w:rFonts w:eastAsia="Times New Roman" w:cs="Arial"/>
          <w:lang w:eastAsia="en-US"/>
        </w:rPr>
      </w:pPr>
      <w:r w:rsidRPr="007A2432">
        <w:rPr>
          <w:rFonts w:eastAsia="Times New Roman" w:cs="Arial"/>
          <w:lang w:eastAsia="en-US"/>
        </w:rPr>
        <w:t xml:space="preserve">Les ions iodure </w:t>
      </w:r>
      <w:r w:rsidRPr="007A2432">
        <w:rPr>
          <w:rFonts w:eastAsia="Arial" w:cs="Arial"/>
          <w:lang w:eastAsia="en-US"/>
        </w:rPr>
        <w:t>I</w:t>
      </w:r>
      <w:r w:rsidRPr="007A2432">
        <w:rPr>
          <w:rFonts w:eastAsia="Arial" w:cs="Arial"/>
          <w:vertAlign w:val="superscript"/>
          <w:lang w:eastAsia="en-US"/>
        </w:rPr>
        <w:t>−</w:t>
      </w:r>
      <w:r w:rsidRPr="007A2432">
        <w:rPr>
          <w:rFonts w:eastAsia="Arial" w:cs="Arial"/>
          <w:lang w:eastAsia="en-US"/>
        </w:rPr>
        <w:t xml:space="preserve">(aq) </w:t>
      </w:r>
      <w:r w:rsidRPr="007A2432">
        <w:rPr>
          <w:rFonts w:eastAsia="Times New Roman" w:cs="Arial"/>
          <w:lang w:eastAsia="en-US"/>
        </w:rPr>
        <w:t xml:space="preserve">étant apportés en excès dans le mélange, la totalité des ions hypochlorite </w:t>
      </w:r>
      <w:r w:rsidRPr="007A2432">
        <w:rPr>
          <w:rFonts w:eastAsia="Arial" w:cs="Arial"/>
          <w:lang w:eastAsia="en-US"/>
        </w:rPr>
        <w:t>C</w:t>
      </w:r>
      <w:r w:rsidRPr="007A2432">
        <w:rPr>
          <w:rFonts w:eastAsia="Arial" w:cs="Arial"/>
          <w:iCs/>
          <w:lang w:eastAsia="en-US"/>
        </w:rPr>
        <w:t>ℓO</w:t>
      </w:r>
      <w:r w:rsidRPr="007A2432">
        <w:rPr>
          <w:rFonts w:eastAsia="Arial" w:cs="Arial"/>
          <w:iCs/>
          <w:vertAlign w:val="superscript"/>
          <w:lang w:eastAsia="en-US"/>
        </w:rPr>
        <w:t>−</w:t>
      </w:r>
      <w:r w:rsidRPr="007A2432">
        <w:rPr>
          <w:rFonts w:eastAsia="Arial" w:cs="Arial"/>
          <w:iCs/>
          <w:lang w:eastAsia="en-US"/>
        </w:rPr>
        <w:t xml:space="preserve">(aq) </w:t>
      </w:r>
      <w:r w:rsidRPr="007A2432">
        <w:rPr>
          <w:rFonts w:eastAsia="Times New Roman" w:cs="Arial"/>
          <w:lang w:eastAsia="en-US"/>
        </w:rPr>
        <w:t>initialement présents sont consommés.</w:t>
      </w:r>
    </w:p>
    <w:p w14:paraId="690741F3" w14:textId="77777777" w:rsidR="007A2432" w:rsidRPr="007A2432" w:rsidRDefault="007A2432" w:rsidP="007A2432">
      <w:pPr>
        <w:spacing w:after="0" w:line="240" w:lineRule="auto"/>
        <w:ind w:left="0"/>
        <w:rPr>
          <w:rFonts w:eastAsia="Times New Roman" w:cs="Arial"/>
          <w:lang w:eastAsia="en-US"/>
        </w:rPr>
      </w:pPr>
    </w:p>
    <w:p w14:paraId="5679F280" w14:textId="77777777" w:rsidR="007A2432" w:rsidRPr="007A2432" w:rsidRDefault="007A2432" w:rsidP="007A2432">
      <w:pPr>
        <w:spacing w:after="0" w:line="240" w:lineRule="auto"/>
        <w:ind w:left="0"/>
        <w:rPr>
          <w:rFonts w:eastAsia="Times New Roman" w:cs="Arial"/>
          <w:lang w:eastAsia="en-US"/>
        </w:rPr>
      </w:pPr>
      <w:r w:rsidRPr="007A2432">
        <w:rPr>
          <w:rFonts w:eastAsia="Times New Roman" w:cs="Arial"/>
          <w:lang w:eastAsia="en-US"/>
        </w:rPr>
        <w:t>Étape 3 :</w:t>
      </w:r>
    </w:p>
    <w:p w14:paraId="1F58EF92"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 xml:space="preserve">On réalise le titrage du diiode </w:t>
      </w:r>
      <m:oMath>
        <m:sSub>
          <m:sSubPr>
            <m:ctrlPr>
              <w:rPr>
                <w:rFonts w:ascii="Cambria Math" w:eastAsia="Times New Roman" w:hAnsi="Cambria Math" w:cs="Arial"/>
                <w:i/>
                <w:lang w:eastAsia="en-US"/>
              </w:rPr>
            </m:ctrlPr>
          </m:sSubPr>
          <m:e>
            <m:r>
              <m:rPr>
                <m:nor/>
              </m:rPr>
              <w:rPr>
                <w:rFonts w:eastAsia="Times New Roman" w:cs="Arial"/>
                <w:lang w:eastAsia="en-US"/>
              </w:rPr>
              <m:t>I</m:t>
            </m:r>
          </m:e>
          <m:sub>
            <m:r>
              <m:rPr>
                <m:nor/>
              </m:rPr>
              <w:rPr>
                <w:rFonts w:eastAsia="Times New Roman" w:cs="Arial"/>
                <w:lang w:eastAsia="en-US"/>
              </w:rPr>
              <m:t>2</m:t>
            </m:r>
          </m:sub>
        </m:sSub>
      </m:oMath>
      <w:r w:rsidRPr="007A2432">
        <w:rPr>
          <w:rFonts w:eastAsia="Times New Roman" w:cs="Arial"/>
          <w:lang w:eastAsia="en-US"/>
        </w:rPr>
        <w:t>(aq)</w:t>
      </w:r>
      <w:r w:rsidRPr="007A2432">
        <w:rPr>
          <w:rFonts w:eastAsia="Arial" w:cs="Arial"/>
          <w:lang w:eastAsia="en-US"/>
        </w:rPr>
        <w:t xml:space="preserve"> formé à l’issue de l’étape 2 par une solution aqueuse de thiosulfate de sodium (2 Na</w:t>
      </w:r>
      <w:r w:rsidRPr="007A2432">
        <w:rPr>
          <w:rFonts w:eastAsia="Arial" w:cs="Arial"/>
          <w:vertAlign w:val="superscript"/>
          <w:lang w:eastAsia="en-US"/>
        </w:rPr>
        <w:t>+</w:t>
      </w:r>
      <w:r w:rsidRPr="007A2432">
        <w:rPr>
          <w:rFonts w:eastAsia="Arial" w:cs="Arial"/>
          <w:vertAlign w:val="subscript"/>
          <w:lang w:eastAsia="en-US"/>
        </w:rPr>
        <w:t>(aq)</w:t>
      </w:r>
      <w:r w:rsidRPr="007A2432">
        <w:rPr>
          <w:rFonts w:eastAsia="Arial" w:cs="Arial"/>
          <w:lang w:eastAsia="en-US"/>
        </w:rPr>
        <w:t> + </w:t>
      </w:r>
      <m:oMath>
        <m:sSub>
          <m:sSubPr>
            <m:ctrlPr>
              <w:rPr>
                <w:rFonts w:ascii="Cambria Math" w:eastAsia="Arial" w:hAnsi="Cambria Math" w:cs="Arial"/>
                <w:i/>
                <w:szCs w:val="22"/>
                <w:lang w:eastAsia="en-US"/>
              </w:rPr>
            </m:ctrlPr>
          </m:sSubPr>
          <m:e>
            <m:r>
              <m:rPr>
                <m:nor/>
              </m:rPr>
              <w:rPr>
                <w:rFonts w:eastAsia="Arial" w:cs="Arial"/>
                <w:szCs w:val="22"/>
                <w:lang w:eastAsia="en-US"/>
              </w:rPr>
              <m:t>S</m:t>
            </m:r>
          </m:e>
          <m:sub>
            <m:r>
              <m:rPr>
                <m:nor/>
              </m:rPr>
              <w:rPr>
                <w:rFonts w:eastAsia="Arial" w:cs="Arial"/>
                <w:szCs w:val="22"/>
                <w:lang w:eastAsia="en-US"/>
              </w:rPr>
              <m:t>2</m:t>
            </m:r>
          </m:sub>
        </m:sSub>
        <m:sSubSup>
          <m:sSubSupPr>
            <m:ctrlPr>
              <w:rPr>
                <w:rFonts w:ascii="Cambria Math" w:eastAsia="Arial" w:hAnsi="Cambria Math" w:cs="Arial"/>
                <w:i/>
                <w:szCs w:val="22"/>
                <w:lang w:eastAsia="en-US"/>
              </w:rPr>
            </m:ctrlPr>
          </m:sSubSupPr>
          <m:e>
            <m:r>
              <m:rPr>
                <m:nor/>
              </m:rPr>
              <w:rPr>
                <w:rFonts w:eastAsia="Arial" w:cs="Arial"/>
                <w:szCs w:val="22"/>
                <w:lang w:eastAsia="en-US"/>
              </w:rPr>
              <m:t>O</m:t>
            </m:r>
          </m:e>
          <m:sub>
            <m:r>
              <m:rPr>
                <m:nor/>
              </m:rPr>
              <w:rPr>
                <w:rFonts w:eastAsia="Arial" w:cs="Arial"/>
                <w:szCs w:val="22"/>
                <w:lang w:eastAsia="en-US"/>
              </w:rPr>
              <m:t>3</m:t>
            </m:r>
          </m:sub>
          <m:sup>
            <m:r>
              <m:rPr>
                <m:nor/>
              </m:rPr>
              <w:rPr>
                <w:rFonts w:eastAsia="Arial" w:cs="Arial"/>
                <w:szCs w:val="22"/>
                <w:lang w:eastAsia="en-US"/>
              </w:rPr>
              <m:t>2</m:t>
            </m:r>
            <m:r>
              <w:rPr>
                <w:rFonts w:ascii="Cambria Math" w:eastAsia="Arial" w:hAnsi="Cambria Math" w:cs="Arial"/>
                <w:szCs w:val="22"/>
                <w:lang w:eastAsia="en-US"/>
              </w:rPr>
              <m:t>-</m:t>
            </m:r>
          </m:sup>
        </m:sSubSup>
      </m:oMath>
      <w:r w:rsidRPr="007A2432">
        <w:rPr>
          <w:rFonts w:eastAsia="Times New Roman" w:cs="Arial"/>
          <w:szCs w:val="22"/>
          <w:vertAlign w:val="subscript"/>
          <w:lang w:eastAsia="en-US"/>
        </w:rPr>
        <w:t>(aq)</w:t>
      </w:r>
      <w:r w:rsidRPr="007A2432">
        <w:rPr>
          <w:rFonts w:eastAsia="Arial" w:cs="Arial"/>
          <w:lang w:eastAsia="en-US"/>
        </w:rPr>
        <w:t>) de concentration effective en ions thiosulfate [</w:t>
      </w:r>
      <m:oMath>
        <m:sSub>
          <m:sSubPr>
            <m:ctrlPr>
              <w:rPr>
                <w:rFonts w:ascii="Cambria Math" w:eastAsia="Arial" w:hAnsi="Cambria Math" w:cs="Arial"/>
                <w:i/>
                <w:szCs w:val="22"/>
                <w:lang w:eastAsia="en-US"/>
              </w:rPr>
            </m:ctrlPr>
          </m:sSubPr>
          <m:e>
            <m:r>
              <m:rPr>
                <m:nor/>
              </m:rPr>
              <w:rPr>
                <w:rFonts w:eastAsia="Arial" w:cs="Arial"/>
                <w:szCs w:val="22"/>
                <w:lang w:eastAsia="en-US"/>
              </w:rPr>
              <m:t>S</m:t>
            </m:r>
          </m:e>
          <m:sub>
            <m:r>
              <m:rPr>
                <m:nor/>
              </m:rPr>
              <w:rPr>
                <w:rFonts w:eastAsia="Arial" w:cs="Arial"/>
                <w:szCs w:val="22"/>
                <w:lang w:eastAsia="en-US"/>
              </w:rPr>
              <m:t>2</m:t>
            </m:r>
          </m:sub>
        </m:sSub>
        <m:sSubSup>
          <m:sSubSupPr>
            <m:ctrlPr>
              <w:rPr>
                <w:rFonts w:ascii="Cambria Math" w:eastAsia="Arial" w:hAnsi="Cambria Math" w:cs="Arial"/>
                <w:i/>
                <w:szCs w:val="22"/>
                <w:lang w:eastAsia="en-US"/>
              </w:rPr>
            </m:ctrlPr>
          </m:sSubSupPr>
          <m:e>
            <m:r>
              <m:rPr>
                <m:nor/>
              </m:rPr>
              <w:rPr>
                <w:rFonts w:eastAsia="Arial" w:cs="Arial"/>
                <w:szCs w:val="22"/>
                <w:lang w:eastAsia="en-US"/>
              </w:rPr>
              <m:t>O</m:t>
            </m:r>
          </m:e>
          <m:sub>
            <m:r>
              <m:rPr>
                <m:nor/>
              </m:rPr>
              <w:rPr>
                <w:rFonts w:eastAsia="Arial" w:cs="Arial"/>
                <w:szCs w:val="22"/>
                <w:lang w:eastAsia="en-US"/>
              </w:rPr>
              <m:t>3</m:t>
            </m:r>
          </m:sub>
          <m:sup>
            <m:r>
              <m:rPr>
                <m:nor/>
              </m:rPr>
              <w:rPr>
                <w:rFonts w:eastAsia="Arial" w:cs="Arial"/>
                <w:szCs w:val="22"/>
                <w:lang w:eastAsia="en-US"/>
              </w:rPr>
              <m:t>2</m:t>
            </m:r>
            <m:r>
              <w:rPr>
                <w:rFonts w:ascii="Cambria Math" w:eastAsia="Arial" w:hAnsi="Cambria Math" w:cs="Arial"/>
                <w:szCs w:val="22"/>
                <w:lang w:eastAsia="en-US"/>
              </w:rPr>
              <m:t>-</m:t>
            </m:r>
          </m:sup>
        </m:sSubSup>
      </m:oMath>
      <w:r w:rsidRPr="007A2432">
        <w:rPr>
          <w:rFonts w:eastAsia="Times New Roman" w:cs="Arial"/>
          <w:szCs w:val="22"/>
          <w:vertAlign w:val="subscript"/>
          <w:lang w:eastAsia="en-US"/>
        </w:rPr>
        <w:t>(aq)</w:t>
      </w:r>
      <w:r w:rsidRPr="007A2432">
        <w:rPr>
          <w:rFonts w:eastAsia="Arial" w:cs="Arial"/>
          <w:lang w:eastAsia="en-US"/>
        </w:rPr>
        <w:t>] = 5,0 </w:t>
      </w:r>
      <w:r w:rsidRPr="007A2432">
        <w:rPr>
          <w:rFonts w:eastAsia="Arial" w:cs="Arial"/>
          <w:lang w:eastAsia="en-US"/>
        </w:rPr>
        <w:sym w:font="Symbol" w:char="F0B4"/>
      </w:r>
      <w:r w:rsidRPr="007A2432">
        <w:rPr>
          <w:rFonts w:eastAsia="Arial" w:cs="Arial"/>
          <w:lang w:eastAsia="en-US"/>
        </w:rPr>
        <w:t> 10</w:t>
      </w:r>
      <w:r w:rsidRPr="007A2432">
        <w:rPr>
          <w:rFonts w:eastAsia="Arial" w:cs="Arial"/>
          <w:vertAlign w:val="superscript"/>
          <w:lang w:eastAsia="en-US"/>
        </w:rPr>
        <w:t>−2</w:t>
      </w:r>
      <w:r w:rsidRPr="007A2432">
        <w:rPr>
          <w:rFonts w:eastAsia="Arial" w:cs="Arial"/>
          <w:lang w:eastAsia="en-US"/>
        </w:rPr>
        <w:t> mol.L</w:t>
      </w:r>
      <w:r w:rsidRPr="007A2432">
        <w:rPr>
          <w:rFonts w:eastAsia="Arial" w:cs="Arial"/>
          <w:vertAlign w:val="superscript"/>
          <w:lang w:eastAsia="en-US"/>
        </w:rPr>
        <w:t>−1</w:t>
      </w:r>
      <w:r w:rsidRPr="007A2432">
        <w:rPr>
          <w:rFonts w:eastAsia="Arial" w:cs="Arial"/>
          <w:lang w:eastAsia="en-US"/>
        </w:rPr>
        <w:t>.</w:t>
      </w:r>
    </w:p>
    <w:p w14:paraId="47EB57CC" w14:textId="644A3972" w:rsidR="007A2432" w:rsidRPr="007A2432" w:rsidRDefault="007A2432" w:rsidP="007A2432">
      <w:pPr>
        <w:spacing w:after="0" w:line="240" w:lineRule="auto"/>
        <w:ind w:left="0"/>
        <w:rPr>
          <w:rFonts w:eastAsia="Arial" w:cs="Arial"/>
          <w:lang w:eastAsia="en-US"/>
        </w:rPr>
      </w:pPr>
      <w:r w:rsidRPr="007A2432">
        <w:rPr>
          <w:rFonts w:eastAsia="Arial" w:cs="Arial"/>
          <w:lang w:eastAsia="en-US"/>
        </w:rPr>
        <w:t>La réaction support du titrage a pour équation :</w:t>
      </w:r>
    </w:p>
    <w:p w14:paraId="2A940813" w14:textId="77777777" w:rsidR="007A2432" w:rsidRPr="007A2432" w:rsidRDefault="00A471DE" w:rsidP="007A2432">
      <w:pPr>
        <w:spacing w:before="60" w:after="60" w:line="240" w:lineRule="auto"/>
        <w:ind w:left="0"/>
        <w:jc w:val="center"/>
        <w:rPr>
          <w:rFonts w:eastAsia="Times New Roman" w:cs="Arial"/>
          <w:szCs w:val="22"/>
          <w:lang w:val="en-US" w:eastAsia="en-US"/>
        </w:rPr>
      </w:pPr>
      <m:oMath>
        <m:sSub>
          <m:sSubPr>
            <m:ctrlPr>
              <w:rPr>
                <w:rFonts w:ascii="Cambria Math" w:eastAsia="Arial" w:hAnsi="Cambria Math" w:cs="Arial"/>
                <w:i/>
                <w:szCs w:val="22"/>
                <w:lang w:eastAsia="en-US"/>
              </w:rPr>
            </m:ctrlPr>
          </m:sSubPr>
          <m:e>
            <m:r>
              <m:rPr>
                <m:nor/>
              </m:rPr>
              <w:rPr>
                <w:rFonts w:eastAsia="Arial" w:cs="Arial"/>
                <w:szCs w:val="22"/>
                <w:lang w:val="en-US" w:eastAsia="en-US"/>
              </w:rPr>
              <m:t>I</m:t>
            </m:r>
          </m:e>
          <m:sub>
            <m:r>
              <m:rPr>
                <m:nor/>
              </m:rPr>
              <w:rPr>
                <w:rFonts w:eastAsia="Arial" w:cs="Arial"/>
                <w:szCs w:val="22"/>
                <w:lang w:val="en-US" w:eastAsia="en-US"/>
              </w:rPr>
              <m:t>2</m:t>
            </m:r>
          </m:sub>
        </m:sSub>
      </m:oMath>
      <w:r w:rsidR="007A2432" w:rsidRPr="007A2432">
        <w:rPr>
          <w:rFonts w:eastAsia="Arial" w:cs="Arial"/>
          <w:vertAlign w:val="subscript"/>
          <w:lang w:val="en-US" w:eastAsia="en-US"/>
        </w:rPr>
        <w:t>(aq)</w:t>
      </w:r>
      <w:r w:rsidR="007A2432" w:rsidRPr="007A2432">
        <w:rPr>
          <w:rFonts w:eastAsia="Arial" w:cs="Arial"/>
          <w:lang w:val="en-US" w:eastAsia="en-US"/>
        </w:rPr>
        <w:t>  +  2 </w:t>
      </w:r>
      <m:oMath>
        <m:sSub>
          <m:sSubPr>
            <m:ctrlPr>
              <w:rPr>
                <w:rFonts w:ascii="Cambria Math" w:eastAsia="Arial" w:hAnsi="Cambria Math" w:cs="Arial"/>
                <w:i/>
                <w:szCs w:val="22"/>
                <w:lang w:eastAsia="en-US"/>
              </w:rPr>
            </m:ctrlPr>
          </m:sSubPr>
          <m:e>
            <m:r>
              <m:rPr>
                <m:nor/>
              </m:rPr>
              <w:rPr>
                <w:rFonts w:eastAsia="Arial" w:cs="Arial"/>
                <w:szCs w:val="22"/>
                <w:lang w:val="en-US" w:eastAsia="en-US"/>
              </w:rPr>
              <m:t>S</m:t>
            </m:r>
          </m:e>
          <m:sub>
            <m:r>
              <m:rPr>
                <m:nor/>
              </m:rPr>
              <w:rPr>
                <w:rFonts w:eastAsia="Arial" w:cs="Arial"/>
                <w:szCs w:val="22"/>
                <w:lang w:val="en-US" w:eastAsia="en-US"/>
              </w:rPr>
              <m:t>2</m:t>
            </m:r>
          </m:sub>
        </m:sSub>
        <m:sSubSup>
          <m:sSubSupPr>
            <m:ctrlPr>
              <w:rPr>
                <w:rFonts w:ascii="Cambria Math" w:eastAsia="Arial" w:hAnsi="Cambria Math" w:cs="Arial"/>
                <w:i/>
                <w:szCs w:val="22"/>
                <w:lang w:eastAsia="en-US"/>
              </w:rPr>
            </m:ctrlPr>
          </m:sSubSupPr>
          <m:e>
            <m:r>
              <m:rPr>
                <m:nor/>
              </m:rPr>
              <w:rPr>
                <w:rFonts w:eastAsia="Arial" w:cs="Arial"/>
                <w:szCs w:val="22"/>
                <w:lang w:val="en-US" w:eastAsia="en-US"/>
              </w:rPr>
              <m:t>O</m:t>
            </m:r>
          </m:e>
          <m:sub>
            <m:r>
              <m:rPr>
                <m:nor/>
              </m:rPr>
              <w:rPr>
                <w:rFonts w:eastAsia="Arial" w:cs="Arial"/>
                <w:szCs w:val="22"/>
                <w:lang w:val="en-US" w:eastAsia="en-US"/>
              </w:rPr>
              <m:t>3</m:t>
            </m:r>
          </m:sub>
          <m:sup>
            <m:r>
              <m:rPr>
                <m:nor/>
              </m:rPr>
              <w:rPr>
                <w:rFonts w:eastAsia="Arial" w:cs="Arial"/>
                <w:szCs w:val="22"/>
                <w:lang w:val="en-US" w:eastAsia="en-US"/>
              </w:rPr>
              <m:t>2</m:t>
            </m:r>
            <m:r>
              <w:rPr>
                <w:rFonts w:ascii="Cambria Math" w:eastAsia="Arial" w:hAnsi="Cambria Math" w:cs="Arial"/>
                <w:szCs w:val="22"/>
                <w:lang w:val="en-US" w:eastAsia="en-US"/>
              </w:rPr>
              <m:t>-</m:t>
            </m:r>
          </m:sup>
        </m:sSubSup>
      </m:oMath>
      <w:r w:rsidR="007A2432" w:rsidRPr="007A2432">
        <w:rPr>
          <w:rFonts w:eastAsia="Times New Roman" w:cs="Arial"/>
          <w:szCs w:val="22"/>
          <w:vertAlign w:val="subscript"/>
          <w:lang w:val="en-US" w:eastAsia="en-US"/>
        </w:rPr>
        <w:t>(aq)</w:t>
      </w:r>
      <w:r w:rsidR="007A2432" w:rsidRPr="007A2432">
        <w:rPr>
          <w:rFonts w:eastAsia="Arial" w:cs="Arial"/>
          <w:lang w:val="en-US" w:eastAsia="en-US"/>
        </w:rPr>
        <w:t>  </w:t>
      </w:r>
      <w:r w:rsidR="007A2432" w:rsidRPr="007A2432">
        <w:rPr>
          <w:rFonts w:eastAsia="Arial" w:cs="Arial"/>
          <w:lang w:eastAsia="en-US"/>
        </w:rPr>
        <w:sym w:font="Wingdings 3" w:char="F022"/>
      </w:r>
      <w:r w:rsidR="007A2432" w:rsidRPr="007A2432">
        <w:rPr>
          <w:rFonts w:eastAsia="Arial" w:cs="Arial"/>
          <w:lang w:val="en-US" w:eastAsia="en-US"/>
        </w:rPr>
        <w:t>  </w:t>
      </w:r>
      <w:r w:rsidR="007A2432" w:rsidRPr="007A2432">
        <w:rPr>
          <w:rFonts w:eastAsia="Arial" w:cs="Arial"/>
          <w:iCs/>
          <w:lang w:val="en-US" w:eastAsia="en-US"/>
        </w:rPr>
        <w:t>2 </w:t>
      </w:r>
      <w:r w:rsidR="007A2432" w:rsidRPr="007A2432">
        <w:rPr>
          <w:rFonts w:eastAsia="Times New Roman" w:cs="Arial"/>
          <w:lang w:val="en-US" w:eastAsia="en-US"/>
        </w:rPr>
        <w:t>I</w:t>
      </w:r>
      <w:r w:rsidR="007A2432" w:rsidRPr="007A2432">
        <w:rPr>
          <w:rFonts w:eastAsia="Arial" w:cs="Arial"/>
          <w:vertAlign w:val="superscript"/>
          <w:lang w:val="en-US" w:eastAsia="en-US"/>
        </w:rPr>
        <w:t>−</w:t>
      </w:r>
      <w:r w:rsidR="007A2432" w:rsidRPr="007A2432">
        <w:rPr>
          <w:rFonts w:eastAsia="Arial" w:cs="Arial"/>
          <w:vertAlign w:val="subscript"/>
          <w:lang w:val="en-US" w:eastAsia="en-US"/>
        </w:rPr>
        <w:t>(aq)</w:t>
      </w:r>
      <w:r w:rsidR="007A2432" w:rsidRPr="007A2432">
        <w:rPr>
          <w:rFonts w:eastAsia="Arial" w:cs="Arial"/>
          <w:lang w:val="en-US" w:eastAsia="en-US"/>
        </w:rPr>
        <w:t>  +  </w:t>
      </w:r>
      <m:oMath>
        <m:sSub>
          <m:sSubPr>
            <m:ctrlPr>
              <w:rPr>
                <w:rFonts w:ascii="Cambria Math" w:eastAsia="Arial" w:hAnsi="Cambria Math" w:cs="Arial"/>
                <w:i/>
                <w:szCs w:val="22"/>
                <w:lang w:eastAsia="en-US"/>
              </w:rPr>
            </m:ctrlPr>
          </m:sSubPr>
          <m:e>
            <m:r>
              <m:rPr>
                <m:nor/>
              </m:rPr>
              <w:rPr>
                <w:rFonts w:eastAsia="Arial" w:cs="Arial"/>
                <w:szCs w:val="22"/>
                <w:lang w:val="en-US" w:eastAsia="en-US"/>
              </w:rPr>
              <m:t>S</m:t>
            </m:r>
          </m:e>
          <m:sub>
            <m:r>
              <m:rPr>
                <m:nor/>
              </m:rPr>
              <w:rPr>
                <w:rFonts w:eastAsia="Arial" w:cs="Arial"/>
                <w:szCs w:val="22"/>
                <w:lang w:val="en-US" w:eastAsia="en-US"/>
              </w:rPr>
              <m:t>4</m:t>
            </m:r>
          </m:sub>
        </m:sSub>
        <m:sSubSup>
          <m:sSubSupPr>
            <m:ctrlPr>
              <w:rPr>
                <w:rFonts w:ascii="Cambria Math" w:eastAsia="Arial" w:hAnsi="Cambria Math" w:cs="Arial"/>
                <w:i/>
                <w:szCs w:val="22"/>
                <w:lang w:eastAsia="en-US"/>
              </w:rPr>
            </m:ctrlPr>
          </m:sSubSupPr>
          <m:e>
            <m:r>
              <m:rPr>
                <m:nor/>
              </m:rPr>
              <w:rPr>
                <w:rFonts w:eastAsia="Arial" w:cs="Arial"/>
                <w:szCs w:val="22"/>
                <w:lang w:val="en-US" w:eastAsia="en-US"/>
              </w:rPr>
              <m:t>O</m:t>
            </m:r>
          </m:e>
          <m:sub>
            <m:r>
              <m:rPr>
                <m:nor/>
              </m:rPr>
              <w:rPr>
                <w:rFonts w:eastAsia="Arial" w:cs="Arial"/>
                <w:szCs w:val="22"/>
                <w:lang w:val="en-US" w:eastAsia="en-US"/>
              </w:rPr>
              <m:t>6</m:t>
            </m:r>
          </m:sub>
          <m:sup>
            <m:r>
              <m:rPr>
                <m:nor/>
              </m:rPr>
              <w:rPr>
                <w:rFonts w:eastAsia="Arial" w:cs="Arial"/>
                <w:szCs w:val="22"/>
                <w:lang w:val="en-US" w:eastAsia="en-US"/>
              </w:rPr>
              <m:t>2</m:t>
            </m:r>
            <m:r>
              <w:rPr>
                <w:rFonts w:ascii="Cambria Math" w:eastAsia="Arial" w:hAnsi="Cambria Math" w:cs="Arial"/>
                <w:szCs w:val="22"/>
                <w:lang w:val="en-US" w:eastAsia="en-US"/>
              </w:rPr>
              <m:t>-</m:t>
            </m:r>
          </m:sup>
        </m:sSubSup>
      </m:oMath>
      <w:r w:rsidR="007A2432" w:rsidRPr="007A2432">
        <w:rPr>
          <w:rFonts w:eastAsia="Times New Roman" w:cs="Arial"/>
          <w:szCs w:val="22"/>
          <w:vertAlign w:val="subscript"/>
          <w:lang w:val="en-US" w:eastAsia="en-US"/>
        </w:rPr>
        <w:t>(aq)</w:t>
      </w:r>
    </w:p>
    <w:p w14:paraId="0C068803"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À l’approche de l’équivalence, on ajoute quelques gouttes de thiodène dans le mélange réactionnel.</w:t>
      </w:r>
    </w:p>
    <w:p w14:paraId="719C9D06" w14:textId="77777777" w:rsidR="007A2432" w:rsidRPr="007A2432" w:rsidRDefault="007A2432" w:rsidP="00594168">
      <w:pPr>
        <w:spacing w:after="0" w:line="240" w:lineRule="auto"/>
        <w:ind w:left="0"/>
        <w:jc w:val="both"/>
        <w:rPr>
          <w:rFonts w:eastAsia="Times New Roman" w:cs="Arial"/>
          <w:lang w:eastAsia="en-US"/>
        </w:rPr>
      </w:pPr>
      <w:r w:rsidRPr="007A2432">
        <w:rPr>
          <w:rFonts w:eastAsia="Arial" w:cs="Arial"/>
          <w:lang w:eastAsia="en-US"/>
        </w:rPr>
        <w:t xml:space="preserve">Lors de ce titrage, le volume de solution aqueuse de thiosulfate de sodium versé pour atteindre l’équivalence est </w:t>
      </w:r>
      <w:r w:rsidRPr="007A2432">
        <w:rPr>
          <w:rFonts w:eastAsia="Arial" w:cs="Arial"/>
          <w:i/>
          <w:lang w:eastAsia="en-US"/>
        </w:rPr>
        <w:t>V</w:t>
      </w:r>
      <w:r w:rsidRPr="007A2432">
        <w:rPr>
          <w:rFonts w:eastAsia="Arial" w:cs="Arial"/>
          <w:vertAlign w:val="subscript"/>
          <w:lang w:eastAsia="en-US"/>
        </w:rPr>
        <w:t>E</w:t>
      </w:r>
      <w:r w:rsidRPr="007A2432">
        <w:rPr>
          <w:rFonts w:eastAsia="Arial" w:cs="Arial"/>
          <w:lang w:eastAsia="en-US"/>
        </w:rPr>
        <w:t> </w:t>
      </w:r>
      <w:r w:rsidRPr="007A2432">
        <w:rPr>
          <w:rFonts w:eastAsia="Times New Roman" w:cs="Arial"/>
          <w:lang w:eastAsia="en-US"/>
        </w:rPr>
        <w:t>= 12,4 mL.</w:t>
      </w:r>
    </w:p>
    <w:p w14:paraId="2040E964" w14:textId="77777777" w:rsidR="007A2432" w:rsidRPr="007A2432" w:rsidRDefault="007A2432" w:rsidP="007A2432">
      <w:pPr>
        <w:spacing w:after="0" w:line="240" w:lineRule="auto"/>
        <w:ind w:left="0"/>
        <w:rPr>
          <w:rFonts w:eastAsia="Times New Roman" w:cs="Arial"/>
          <w:lang w:eastAsia="en-US"/>
        </w:rPr>
      </w:pPr>
    </w:p>
    <w:p w14:paraId="75465EB1"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 xml:space="preserve">En solution aqueuse, le diiode </w:t>
      </w:r>
      <m:oMath>
        <m:sSub>
          <m:sSubPr>
            <m:ctrlPr>
              <w:rPr>
                <w:rFonts w:ascii="Cambria Math" w:eastAsia="Times New Roman" w:hAnsi="Cambria Math" w:cs="Arial"/>
                <w:i/>
                <w:lang w:eastAsia="en-US"/>
              </w:rPr>
            </m:ctrlPr>
          </m:sSubPr>
          <m:e>
            <m:r>
              <m:rPr>
                <m:nor/>
              </m:rPr>
              <w:rPr>
                <w:rFonts w:eastAsia="Times New Roman" w:cs="Arial"/>
                <w:lang w:eastAsia="en-US"/>
              </w:rPr>
              <m:t>I</m:t>
            </m:r>
          </m:e>
          <m:sub>
            <m:r>
              <m:rPr>
                <m:nor/>
              </m:rPr>
              <w:rPr>
                <w:rFonts w:eastAsia="Times New Roman" w:cs="Arial"/>
                <w:lang w:eastAsia="en-US"/>
              </w:rPr>
              <m:t>2</m:t>
            </m:r>
          </m:sub>
        </m:sSub>
      </m:oMath>
      <w:r w:rsidRPr="007A2432">
        <w:rPr>
          <w:rFonts w:eastAsia="Times New Roman" w:cs="Arial"/>
          <w:lang w:eastAsia="en-US"/>
        </w:rPr>
        <w:t>(aq)</w:t>
      </w:r>
      <w:r w:rsidRPr="007A2432">
        <w:rPr>
          <w:rFonts w:eastAsia="Arial" w:cs="Arial"/>
          <w:lang w:eastAsia="en-US"/>
        </w:rPr>
        <w:t xml:space="preserve"> est de couleur brune à forte concentration et jaune très pâle à faible concentration.</w:t>
      </w:r>
    </w:p>
    <w:p w14:paraId="27ABA370" w14:textId="77777777" w:rsidR="007A2432" w:rsidRPr="007A2432" w:rsidRDefault="007A2432" w:rsidP="00594168">
      <w:pPr>
        <w:spacing w:after="0" w:line="240" w:lineRule="auto"/>
        <w:ind w:left="0"/>
        <w:contextualSpacing/>
        <w:jc w:val="both"/>
        <w:rPr>
          <w:rFonts w:eastAsia="Arial" w:cs="Arial"/>
          <w:lang w:eastAsia="en-US"/>
        </w:rPr>
      </w:pPr>
      <w:r w:rsidRPr="007A2432">
        <w:rPr>
          <w:rFonts w:eastAsia="Arial" w:cs="Arial"/>
          <w:lang w:eastAsia="en-US"/>
        </w:rPr>
        <w:t>Une solution aqueuse de diiode devient bleu foncé en présence de thiodène.</w:t>
      </w:r>
    </w:p>
    <w:p w14:paraId="7EA9D22E"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lang w:eastAsia="en-US"/>
        </w:rPr>
        <w:t>Parmi l’ensemble des espèces mentionnées dans cet exercice, seul le diiode est coloré en solution aqueuse.</w:t>
      </w:r>
    </w:p>
    <w:p w14:paraId="53F12E63" w14:textId="77777777" w:rsidR="007A2432" w:rsidRPr="007A2432" w:rsidRDefault="007A2432" w:rsidP="007A2432">
      <w:pPr>
        <w:spacing w:after="0" w:line="240" w:lineRule="auto"/>
        <w:ind w:left="0"/>
        <w:rPr>
          <w:rFonts w:eastAsia="Arial" w:cs="Arial"/>
          <w:lang w:eastAsia="en-US"/>
        </w:rPr>
      </w:pPr>
    </w:p>
    <w:p w14:paraId="5C7E3F5D" w14:textId="0E8AB916" w:rsidR="007A2432" w:rsidRPr="007A2432" w:rsidRDefault="007A2432" w:rsidP="007A2432">
      <w:pPr>
        <w:spacing w:after="0" w:line="240" w:lineRule="auto"/>
        <w:ind w:left="0"/>
        <w:rPr>
          <w:rFonts w:eastAsia="Arial" w:cs="Arial"/>
          <w:lang w:eastAsia="en-US"/>
        </w:rPr>
      </w:pPr>
      <w:r w:rsidRPr="007A2432">
        <w:rPr>
          <w:rFonts w:eastAsia="Arial" w:cs="Arial"/>
          <w:b/>
          <w:lang w:eastAsia="en-US"/>
        </w:rPr>
        <w:t>3.1.</w:t>
      </w:r>
      <w:r w:rsidRPr="007A2432">
        <w:rPr>
          <w:rFonts w:eastAsia="Arial" w:cs="Arial"/>
          <w:lang w:eastAsia="en-US"/>
        </w:rPr>
        <w:t> Indiquer les précautions à prendre lors de la manipulation des solutions S et S’.</w:t>
      </w:r>
    </w:p>
    <w:p w14:paraId="7251C4C0"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3.2.</w:t>
      </w:r>
      <w:r w:rsidRPr="007A2432">
        <w:rPr>
          <w:rFonts w:eastAsia="Arial" w:cs="Arial"/>
          <w:lang w:eastAsia="en-US"/>
        </w:rPr>
        <w:t> On donne le schéma du dispositif expérimental mis en œuvre lors de l’étape 3. Indiquer sans recopier le schéma sur la copie, les termes à mettre en (a), (b), (c), (d) et (e) pour compléter la légende de ce schéma.</w:t>
      </w:r>
    </w:p>
    <w:p w14:paraId="45F5DE27" w14:textId="77777777" w:rsidR="007A2432" w:rsidRPr="007A2432" w:rsidRDefault="007A2432" w:rsidP="007A2432">
      <w:pPr>
        <w:spacing w:after="0" w:line="240" w:lineRule="auto"/>
        <w:ind w:left="0"/>
        <w:rPr>
          <w:rFonts w:eastAsia="Arial" w:cs="Arial"/>
          <w:lang w:eastAsia="en-US"/>
        </w:rPr>
      </w:pPr>
    </w:p>
    <w:p w14:paraId="0458674C" w14:textId="77777777" w:rsidR="007A2432" w:rsidRPr="007A2432" w:rsidRDefault="007A2432" w:rsidP="007A2432">
      <w:pPr>
        <w:spacing w:after="0" w:line="240" w:lineRule="auto"/>
        <w:ind w:left="0"/>
        <w:jc w:val="center"/>
        <w:rPr>
          <w:rFonts w:eastAsia="Arial" w:cs="Arial"/>
          <w:lang w:eastAsia="en-US"/>
        </w:rPr>
      </w:pPr>
      <w:r w:rsidRPr="007A2432">
        <w:rPr>
          <w:rFonts w:eastAsia="Arial" w:cs="Arial"/>
          <w:noProof/>
        </w:rPr>
        <w:drawing>
          <wp:inline distT="0" distB="0" distL="0" distR="0" wp14:anchorId="5BEB0909" wp14:editId="62C688D1">
            <wp:extent cx="3808777" cy="2435121"/>
            <wp:effectExtent l="0" t="0" r="1270" b="381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r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1128" cy="2455804"/>
                    </a:xfrm>
                    <a:prstGeom prst="rect">
                      <a:avLst/>
                    </a:prstGeom>
                  </pic:spPr>
                </pic:pic>
              </a:graphicData>
            </a:graphic>
          </wp:inline>
        </w:drawing>
      </w:r>
    </w:p>
    <w:p w14:paraId="4E7F7C04" w14:textId="77777777" w:rsidR="007A2432" w:rsidRPr="007A2432" w:rsidRDefault="007A2432" w:rsidP="007A2432">
      <w:pPr>
        <w:spacing w:after="0" w:line="240" w:lineRule="auto"/>
        <w:ind w:left="0"/>
        <w:rPr>
          <w:rFonts w:eastAsia="Arial" w:cs="Arial"/>
          <w:lang w:eastAsia="en-US"/>
        </w:rPr>
      </w:pPr>
    </w:p>
    <w:p w14:paraId="331E6D01" w14:textId="7AEB3F54"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3.3.</w:t>
      </w:r>
      <w:r w:rsidRPr="007A2432">
        <w:rPr>
          <w:rFonts w:eastAsia="Arial" w:cs="Arial"/>
          <w:lang w:eastAsia="en-US"/>
        </w:rPr>
        <w:t> Indiquer comment l’équivalence est repérée lors de ce titrage. Justifier la réponse.</w:t>
      </w:r>
    </w:p>
    <w:p w14:paraId="48A037C5" w14:textId="2DE97E84"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3.4</w:t>
      </w:r>
      <w:r w:rsidRPr="007A2432">
        <w:rPr>
          <w:rFonts w:eastAsia="Arial" w:cs="Arial"/>
          <w:lang w:eastAsia="en-US"/>
        </w:rPr>
        <w:t>. Déduire du résultat de ce titrage la quantité de matière de diiode formé dans le mélange réactionnel à l’issue de l’étape 2 et titré par le thiosulfate.</w:t>
      </w:r>
    </w:p>
    <w:p w14:paraId="45885FF3" w14:textId="77777777" w:rsidR="007A2432" w:rsidRPr="007A2432" w:rsidRDefault="007A2432" w:rsidP="00594168">
      <w:pPr>
        <w:spacing w:after="0" w:line="240" w:lineRule="auto"/>
        <w:ind w:left="0"/>
        <w:jc w:val="both"/>
        <w:rPr>
          <w:rFonts w:eastAsia="Arial" w:cs="Arial"/>
          <w:lang w:eastAsia="en-US"/>
        </w:rPr>
      </w:pPr>
      <w:r w:rsidRPr="007A2432">
        <w:rPr>
          <w:rFonts w:eastAsia="Arial" w:cs="Arial"/>
          <w:b/>
          <w:lang w:eastAsia="en-US"/>
        </w:rPr>
        <w:t>3.5.</w:t>
      </w:r>
      <w:r w:rsidRPr="007A2432">
        <w:rPr>
          <w:rFonts w:eastAsia="Arial" w:cs="Arial"/>
          <w:lang w:eastAsia="en-US"/>
        </w:rPr>
        <w:t> Déterminer la concentration en quantité de matière des ions hypochlorite de la solution S et commenter le résultat.</w:t>
      </w:r>
    </w:p>
    <w:p w14:paraId="7494EC70" w14:textId="24924528" w:rsidR="007A2432" w:rsidRPr="00C67CF2" w:rsidRDefault="007A2432" w:rsidP="00C67CF2">
      <w:pPr>
        <w:spacing w:after="0" w:line="240" w:lineRule="auto"/>
        <w:ind w:left="0"/>
        <w:jc w:val="both"/>
        <w:rPr>
          <w:rFonts w:eastAsia="Arial" w:cs="Arial"/>
          <w:i/>
          <w:lang w:eastAsia="en-US"/>
        </w:rPr>
      </w:pPr>
      <w:r w:rsidRPr="007A2432">
        <w:rPr>
          <w:rFonts w:eastAsia="Arial" w:cs="Arial"/>
          <w:i/>
          <w:lang w:eastAsia="en-US"/>
        </w:rPr>
        <w:t xml:space="preserve">Pour cette dernière question, le candidat est invité à prendre des initiatives et à présenter la démarche suivie même si elle n’a pas abouti. </w:t>
      </w:r>
    </w:p>
    <w:sectPr w:rsidR="007A2432" w:rsidRPr="00C67CF2" w:rsidSect="003227D5">
      <w:pgSz w:w="11906" w:h="16838" w:code="9"/>
      <w:pgMar w:top="851" w:right="851" w:bottom="851" w:left="851"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9320F" w14:textId="77777777" w:rsidR="002D702C" w:rsidRDefault="002D702C" w:rsidP="0053612B">
      <w:pPr>
        <w:spacing w:after="0" w:line="240" w:lineRule="auto"/>
      </w:pPr>
      <w:r>
        <w:separator/>
      </w:r>
    </w:p>
  </w:endnote>
  <w:endnote w:type="continuationSeparator" w:id="0">
    <w:p w14:paraId="709384FC" w14:textId="77777777" w:rsidR="002D702C" w:rsidRDefault="002D702C" w:rsidP="0053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C0DCA" w14:textId="77777777" w:rsidR="002D702C" w:rsidRDefault="002D702C" w:rsidP="0053612B">
      <w:pPr>
        <w:spacing w:after="0" w:line="240" w:lineRule="auto"/>
      </w:pPr>
      <w:r>
        <w:separator/>
      </w:r>
    </w:p>
  </w:footnote>
  <w:footnote w:type="continuationSeparator" w:id="0">
    <w:p w14:paraId="3180D868" w14:textId="77777777" w:rsidR="002D702C" w:rsidRDefault="002D702C" w:rsidP="00536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63CF"/>
    <w:multiLevelType w:val="hybridMultilevel"/>
    <w:tmpl w:val="64103870"/>
    <w:lvl w:ilvl="0" w:tplc="BD46DACC">
      <w:numFmt w:val="bullet"/>
      <w:lvlText w:val="-"/>
      <w:lvlJc w:val="left"/>
      <w:pPr>
        <w:ind w:left="720" w:hanging="360"/>
      </w:pPr>
      <w:rPr>
        <w:rFonts w:ascii="Calibri" w:eastAsiaTheme="minorEastAsia" w:hAnsi="Calibri"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7A742D"/>
    <w:multiLevelType w:val="hybridMultilevel"/>
    <w:tmpl w:val="873C9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0245BD"/>
    <w:multiLevelType w:val="hybridMultilevel"/>
    <w:tmpl w:val="58A897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19D5EC0"/>
    <w:multiLevelType w:val="multilevel"/>
    <w:tmpl w:val="1CE4A0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B"/>
    <w:rsid w:val="000134A9"/>
    <w:rsid w:val="000508EF"/>
    <w:rsid w:val="000905F9"/>
    <w:rsid w:val="000A3345"/>
    <w:rsid w:val="000C6554"/>
    <w:rsid w:val="00103C42"/>
    <w:rsid w:val="00116AFA"/>
    <w:rsid w:val="00121498"/>
    <w:rsid w:val="00133B59"/>
    <w:rsid w:val="001424D6"/>
    <w:rsid w:val="001532D0"/>
    <w:rsid w:val="001718FD"/>
    <w:rsid w:val="0017563A"/>
    <w:rsid w:val="001771F9"/>
    <w:rsid w:val="002A68A6"/>
    <w:rsid w:val="002B20A9"/>
    <w:rsid w:val="002D702C"/>
    <w:rsid w:val="002E4943"/>
    <w:rsid w:val="003227D5"/>
    <w:rsid w:val="00323C72"/>
    <w:rsid w:val="003408B3"/>
    <w:rsid w:val="003D1776"/>
    <w:rsid w:val="004B41C6"/>
    <w:rsid w:val="004F13CF"/>
    <w:rsid w:val="005122FA"/>
    <w:rsid w:val="0053612B"/>
    <w:rsid w:val="00571B73"/>
    <w:rsid w:val="005822C2"/>
    <w:rsid w:val="00594168"/>
    <w:rsid w:val="005F583D"/>
    <w:rsid w:val="00626E0F"/>
    <w:rsid w:val="00634187"/>
    <w:rsid w:val="00643D11"/>
    <w:rsid w:val="0067731A"/>
    <w:rsid w:val="00680041"/>
    <w:rsid w:val="006A2305"/>
    <w:rsid w:val="006B1682"/>
    <w:rsid w:val="006E390A"/>
    <w:rsid w:val="00703897"/>
    <w:rsid w:val="007110B0"/>
    <w:rsid w:val="007275B1"/>
    <w:rsid w:val="0077193A"/>
    <w:rsid w:val="00772C44"/>
    <w:rsid w:val="00781C7F"/>
    <w:rsid w:val="007845EA"/>
    <w:rsid w:val="007A2432"/>
    <w:rsid w:val="007A7764"/>
    <w:rsid w:val="007C35A8"/>
    <w:rsid w:val="00826640"/>
    <w:rsid w:val="00837873"/>
    <w:rsid w:val="0084040C"/>
    <w:rsid w:val="00857478"/>
    <w:rsid w:val="00860F2B"/>
    <w:rsid w:val="00875770"/>
    <w:rsid w:val="0089178E"/>
    <w:rsid w:val="00893F38"/>
    <w:rsid w:val="008E2217"/>
    <w:rsid w:val="008E5053"/>
    <w:rsid w:val="008F477F"/>
    <w:rsid w:val="008F72C8"/>
    <w:rsid w:val="00977ADB"/>
    <w:rsid w:val="009D1A0F"/>
    <w:rsid w:val="009D7A17"/>
    <w:rsid w:val="009E0FEA"/>
    <w:rsid w:val="00A30FA0"/>
    <w:rsid w:val="00A471DE"/>
    <w:rsid w:val="00A61AC9"/>
    <w:rsid w:val="00A76AD3"/>
    <w:rsid w:val="00AB4BAE"/>
    <w:rsid w:val="00AC35E3"/>
    <w:rsid w:val="00AD38CA"/>
    <w:rsid w:val="00AF5BC9"/>
    <w:rsid w:val="00B01E20"/>
    <w:rsid w:val="00B13C1A"/>
    <w:rsid w:val="00B2660B"/>
    <w:rsid w:val="00B850C9"/>
    <w:rsid w:val="00B92318"/>
    <w:rsid w:val="00BB56DE"/>
    <w:rsid w:val="00C17A52"/>
    <w:rsid w:val="00C33076"/>
    <w:rsid w:val="00C44650"/>
    <w:rsid w:val="00C67037"/>
    <w:rsid w:val="00C67CF2"/>
    <w:rsid w:val="00C8311A"/>
    <w:rsid w:val="00CA5A3D"/>
    <w:rsid w:val="00CA5D1C"/>
    <w:rsid w:val="00CB5AF5"/>
    <w:rsid w:val="00CB6093"/>
    <w:rsid w:val="00CC0053"/>
    <w:rsid w:val="00D15825"/>
    <w:rsid w:val="00D545E4"/>
    <w:rsid w:val="00D760A4"/>
    <w:rsid w:val="00D97177"/>
    <w:rsid w:val="00E32F53"/>
    <w:rsid w:val="00E51C64"/>
    <w:rsid w:val="00E5600F"/>
    <w:rsid w:val="00E63874"/>
    <w:rsid w:val="00EA0C7A"/>
    <w:rsid w:val="00EB03E7"/>
    <w:rsid w:val="00EE1F69"/>
    <w:rsid w:val="00F03BC8"/>
    <w:rsid w:val="00F06AF1"/>
    <w:rsid w:val="00F074C8"/>
    <w:rsid w:val="00F13990"/>
    <w:rsid w:val="00FA2E0B"/>
    <w:rsid w:val="00FA75C8"/>
    <w:rsid w:val="00FE7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0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76"/>
    <w:pPr>
      <w:spacing w:after="160" w:line="259" w:lineRule="auto"/>
      <w:ind w:left="708"/>
    </w:pPr>
    <w:rPr>
      <w:sz w:val="24"/>
      <w:szCs w:val="24"/>
    </w:rPr>
  </w:style>
  <w:style w:type="paragraph" w:styleId="Titre1">
    <w:name w:val="heading 1"/>
    <w:basedOn w:val="Normal"/>
    <w:next w:val="Normal"/>
    <w:link w:val="Titre1Car"/>
    <w:uiPriority w:val="9"/>
    <w:qFormat/>
    <w:rsid w:val="0084040C"/>
    <w:pPr>
      <w:keepNext/>
      <w:spacing w:before="240" w:after="60"/>
      <w:outlineLvl w:val="0"/>
    </w:pPr>
    <w:rPr>
      <w:rFonts w:eastAsia="Times New Roman"/>
      <w:b/>
      <w:bCs/>
      <w:kern w:val="32"/>
      <w:sz w:val="32"/>
      <w:szCs w:val="32"/>
    </w:rPr>
  </w:style>
  <w:style w:type="paragraph" w:styleId="Titre2">
    <w:name w:val="heading 2"/>
    <w:basedOn w:val="Normal"/>
    <w:next w:val="Normal"/>
    <w:link w:val="Titre2Car"/>
    <w:uiPriority w:val="9"/>
    <w:unhideWhenUsed/>
    <w:qFormat/>
    <w:rsid w:val="0084040C"/>
    <w:pPr>
      <w:keepNext/>
      <w:spacing w:before="240" w:after="60"/>
      <w:outlineLvl w:val="1"/>
    </w:pPr>
    <w:rPr>
      <w:rFonts w:eastAsia="Times New Roman"/>
      <w:b/>
      <w:bCs/>
      <w:i/>
      <w:iCs/>
      <w:sz w:val="28"/>
      <w:szCs w:val="28"/>
    </w:rPr>
  </w:style>
  <w:style w:type="paragraph" w:styleId="Titre3">
    <w:name w:val="heading 3"/>
    <w:basedOn w:val="Normal"/>
    <w:next w:val="Normal"/>
    <w:link w:val="Titre3Car"/>
    <w:uiPriority w:val="9"/>
    <w:unhideWhenUsed/>
    <w:qFormat/>
    <w:rsid w:val="0084040C"/>
    <w:pPr>
      <w:keepNext/>
      <w:spacing w:before="240" w:after="60"/>
      <w:outlineLvl w:val="2"/>
    </w:pPr>
    <w:rPr>
      <w:rFonts w:eastAsia="Times New Roman"/>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612B"/>
    <w:pPr>
      <w:tabs>
        <w:tab w:val="center" w:pos="4536"/>
        <w:tab w:val="right" w:pos="9072"/>
      </w:tabs>
      <w:spacing w:after="0" w:line="240" w:lineRule="auto"/>
      <w:ind w:left="0"/>
    </w:pPr>
    <w:rPr>
      <w:rFonts w:ascii="Calibri" w:hAnsi="Calibri"/>
    </w:rPr>
  </w:style>
  <w:style w:type="character" w:customStyle="1" w:styleId="En-tteCar">
    <w:name w:val="En-tête Car"/>
    <w:basedOn w:val="Policepardfaut"/>
    <w:link w:val="En-tte"/>
    <w:uiPriority w:val="99"/>
    <w:rsid w:val="0053612B"/>
  </w:style>
  <w:style w:type="paragraph" w:styleId="Pieddepage">
    <w:name w:val="footer"/>
    <w:basedOn w:val="Normal"/>
    <w:link w:val="PieddepageCar"/>
    <w:uiPriority w:val="99"/>
    <w:unhideWhenUsed/>
    <w:rsid w:val="0053612B"/>
    <w:pPr>
      <w:tabs>
        <w:tab w:val="center" w:pos="4536"/>
        <w:tab w:val="right" w:pos="9072"/>
      </w:tabs>
      <w:spacing w:after="0" w:line="240" w:lineRule="auto"/>
      <w:ind w:left="0"/>
    </w:pPr>
    <w:rPr>
      <w:rFonts w:ascii="Calibri" w:hAnsi="Calibri"/>
    </w:rPr>
  </w:style>
  <w:style w:type="character" w:customStyle="1" w:styleId="PieddepageCar">
    <w:name w:val="Pied de page Car"/>
    <w:basedOn w:val="Policepardfaut"/>
    <w:link w:val="Pieddepage"/>
    <w:uiPriority w:val="99"/>
    <w:rsid w:val="0053612B"/>
  </w:style>
  <w:style w:type="paragraph" w:customStyle="1" w:styleId="consignes">
    <w:name w:val="(!)consignes"/>
    <w:basedOn w:val="Normal"/>
    <w:link w:val="consignesCar"/>
    <w:qFormat/>
    <w:rsid w:val="0053612B"/>
    <w:pPr>
      <w:spacing w:after="0" w:line="240" w:lineRule="auto"/>
      <w:ind w:left="1572" w:right="-20"/>
    </w:pPr>
    <w:rPr>
      <w:rFonts w:ascii="Calibri" w:hAnsi="Calibri" w:cs="Calibri"/>
      <w:color w:val="231F20"/>
      <w:sz w:val="18"/>
    </w:rPr>
  </w:style>
  <w:style w:type="character" w:customStyle="1" w:styleId="consignesCar">
    <w:name w:val="(!)consignes Car"/>
    <w:link w:val="consignes"/>
    <w:rsid w:val="0053612B"/>
    <w:rPr>
      <w:rFonts w:ascii="Calibri" w:eastAsia="Calibri" w:hAnsi="Calibri" w:cs="Calibri"/>
      <w:color w:val="231F20"/>
      <w:sz w:val="18"/>
    </w:rPr>
  </w:style>
  <w:style w:type="table" w:styleId="Grilledutableau">
    <w:name w:val="Table Grid"/>
    <w:basedOn w:val="TableauNormal"/>
    <w:uiPriority w:val="39"/>
    <w:rsid w:val="00B0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iedsDePage">
    <w:name w:val="(!)EnTetePiedsDePage"/>
    <w:basedOn w:val="Pieddepage"/>
    <w:link w:val="EnTetePiedsDePageCar"/>
    <w:qFormat/>
    <w:rsid w:val="001424D6"/>
    <w:pPr>
      <w:spacing w:before="40" w:after="40"/>
      <w:jc w:val="right"/>
    </w:pPr>
    <w:rPr>
      <w:rFonts w:ascii="Arial" w:hAnsi="Arial" w:cs="Arial"/>
      <w:sz w:val="18"/>
    </w:rPr>
  </w:style>
  <w:style w:type="character" w:customStyle="1" w:styleId="EnTetePiedsDePageCar">
    <w:name w:val="(!)EnTetePiedsDePage Car"/>
    <w:link w:val="EnTetePiedsDePage"/>
    <w:rsid w:val="001424D6"/>
    <w:rPr>
      <w:rFonts w:ascii="Arial" w:hAnsi="Arial" w:cs="Arial"/>
      <w:sz w:val="18"/>
    </w:rPr>
  </w:style>
  <w:style w:type="character" w:customStyle="1" w:styleId="Titre1Car">
    <w:name w:val="Titre 1 Car"/>
    <w:link w:val="Titre1"/>
    <w:uiPriority w:val="9"/>
    <w:rsid w:val="0084040C"/>
    <w:rPr>
      <w:rFonts w:eastAsia="Times New Roman" w:cs="Times New Roman"/>
      <w:b/>
      <w:bCs/>
      <w:kern w:val="32"/>
      <w:sz w:val="32"/>
      <w:szCs w:val="32"/>
    </w:rPr>
  </w:style>
  <w:style w:type="character" w:customStyle="1" w:styleId="Titre2Car">
    <w:name w:val="Titre 2 Car"/>
    <w:link w:val="Titre2"/>
    <w:uiPriority w:val="9"/>
    <w:rsid w:val="0084040C"/>
    <w:rPr>
      <w:rFonts w:eastAsia="Times New Roman" w:cs="Times New Roman"/>
      <w:b/>
      <w:bCs/>
      <w:i/>
      <w:iCs/>
      <w:sz w:val="28"/>
      <w:szCs w:val="28"/>
    </w:rPr>
  </w:style>
  <w:style w:type="character" w:customStyle="1" w:styleId="Titre3Car">
    <w:name w:val="Titre 3 Car"/>
    <w:link w:val="Titre3"/>
    <w:uiPriority w:val="9"/>
    <w:rsid w:val="0084040C"/>
    <w:rPr>
      <w:rFonts w:eastAsia="Times New Roman" w:cs="Times New Roman"/>
      <w:b/>
      <w:bCs/>
      <w:szCs w:val="26"/>
    </w:rPr>
  </w:style>
  <w:style w:type="paragraph" w:styleId="Textedebulles">
    <w:name w:val="Balloon Text"/>
    <w:basedOn w:val="Normal"/>
    <w:link w:val="TextedebullesCar"/>
    <w:uiPriority w:val="99"/>
    <w:semiHidden/>
    <w:unhideWhenUsed/>
    <w:rsid w:val="00AF5BC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F5BC9"/>
    <w:rPr>
      <w:rFonts w:ascii="Tahoma" w:hAnsi="Tahoma" w:cs="Tahoma"/>
      <w:sz w:val="16"/>
      <w:szCs w:val="16"/>
    </w:rPr>
  </w:style>
  <w:style w:type="table" w:customStyle="1" w:styleId="Grilledutableau1">
    <w:name w:val="Grille du tableau1"/>
    <w:basedOn w:val="TableauNormal"/>
    <w:next w:val="Grilledutableau"/>
    <w:uiPriority w:val="59"/>
    <w:rsid w:val="007A2432"/>
    <w:rPr>
      <w:rFonts w:eastAsia="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basedOn w:val="Policepardfaut"/>
    <w:uiPriority w:val="99"/>
    <w:unhideWhenUsed/>
    <w:rsid w:val="007A2432"/>
    <w:rPr>
      <w:color w:val="0000FF"/>
      <w:u w:val="single"/>
    </w:rPr>
  </w:style>
  <w:style w:type="character" w:styleId="Lienhypertexte">
    <w:name w:val="Hyperlink"/>
    <w:basedOn w:val="Policepardfaut"/>
    <w:uiPriority w:val="99"/>
    <w:unhideWhenUsed/>
    <w:rsid w:val="007A2432"/>
    <w:rPr>
      <w:color w:val="0000FF" w:themeColor="hyperlink"/>
      <w:u w:val="single"/>
    </w:rPr>
  </w:style>
  <w:style w:type="character" w:styleId="Mentionnonrsolue">
    <w:name w:val="Unresolved Mention"/>
    <w:basedOn w:val="Policepardfaut"/>
    <w:uiPriority w:val="99"/>
    <w:semiHidden/>
    <w:unhideWhenUsed/>
    <w:rsid w:val="0032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1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bolyc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audejave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5848</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2020-06-17T19:45:00Z</dcterms:created>
  <dcterms:modified xsi:type="dcterms:W3CDTF">2020-06-17T19:45:00Z</dcterms:modified>
</cp:coreProperties>
</file>