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1" w:rightFromText="141" w:vertAnchor="text" w:horzAnchor="margin" w:tblpX="181" w:tblpY="122"/>
        <w:tblW w:w="9889" w:type="dxa"/>
        <w:tblLook w:val="04A0" w:firstRow="1" w:lastRow="0" w:firstColumn="1" w:lastColumn="0" w:noHBand="0" w:noVBand="1"/>
      </w:tblPr>
      <w:tblGrid>
        <w:gridCol w:w="9889"/>
      </w:tblGrid>
      <w:tr w:rsidR="0089178E" w14:paraId="4713D40A" w14:textId="77777777" w:rsidTr="002356EA">
        <w:tc>
          <w:tcPr>
            <w:tcW w:w="9889" w:type="dxa"/>
          </w:tcPr>
          <w:p w14:paraId="69F069B2" w14:textId="29DCEAAF" w:rsidR="0089178E" w:rsidRDefault="0089178E" w:rsidP="002356EA">
            <w:pPr>
              <w:spacing w:line="240" w:lineRule="auto"/>
              <w:ind w:left="0"/>
              <w:jc w:val="center"/>
              <w:rPr>
                <w:rFonts w:eastAsia="Times New Roman"/>
                <w:b/>
                <w:color w:val="595959" w:themeColor="text1" w:themeTint="A6"/>
                <w:sz w:val="28"/>
                <w:szCs w:val="22"/>
              </w:rPr>
            </w:pPr>
            <w:r w:rsidRPr="00E51FB5">
              <w:rPr>
                <w:rFonts w:eastAsia="Times New Roman"/>
                <w:b/>
                <w:szCs w:val="22"/>
              </w:rPr>
              <w:t>ÉPREUVES COMMUNES DE CONTRÔLE CONTINU</w:t>
            </w:r>
            <w:r w:rsidR="009B0373">
              <w:rPr>
                <w:rFonts w:eastAsia="Times New Roman"/>
                <w:b/>
                <w:szCs w:val="22"/>
              </w:rPr>
              <w:tab/>
              <w:t>2020</w:t>
            </w:r>
            <w:r w:rsidR="009B0373">
              <w:rPr>
                <w:rFonts w:eastAsia="Times New Roman"/>
                <w:b/>
                <w:szCs w:val="22"/>
              </w:rPr>
              <w:br/>
            </w:r>
            <w:hyperlink r:id="rId7" w:history="1">
              <w:r w:rsidR="009B0373" w:rsidRPr="006F176D">
                <w:rPr>
                  <w:rStyle w:val="Lienhypertexte"/>
                  <w:rFonts w:eastAsia="Times New Roman"/>
                  <w:b/>
                  <w:szCs w:val="22"/>
                </w:rPr>
                <w:t>http://labolycee.org</w:t>
              </w:r>
            </w:hyperlink>
            <w:r w:rsidR="009B0373">
              <w:rPr>
                <w:rFonts w:eastAsia="Times New Roman"/>
                <w:b/>
                <w:color w:val="595959" w:themeColor="text1" w:themeTint="A6"/>
                <w:szCs w:val="22"/>
              </w:rPr>
              <w:t xml:space="preserve"> </w:t>
            </w:r>
          </w:p>
        </w:tc>
      </w:tr>
      <w:tr w:rsidR="0089178E" w14:paraId="129B2E26" w14:textId="77777777" w:rsidTr="002356EA">
        <w:tc>
          <w:tcPr>
            <w:tcW w:w="9889" w:type="dxa"/>
          </w:tcPr>
          <w:p w14:paraId="2EF13902" w14:textId="0E5E77A4" w:rsidR="0089178E" w:rsidRPr="00893F38" w:rsidRDefault="0089178E" w:rsidP="002356EA">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CLASSE :</w:t>
            </w:r>
            <w:r w:rsidRPr="00626E0F">
              <w:rPr>
                <w:rFonts w:eastAsia="Times New Roman"/>
                <w:color w:val="000000" w:themeColor="text1"/>
                <w:sz w:val="20"/>
                <w:szCs w:val="22"/>
              </w:rPr>
              <w:t xml:space="preserve"> Première</w:t>
            </w:r>
            <w:r w:rsidR="009B0373">
              <w:rPr>
                <w:rFonts w:eastAsia="Times New Roman"/>
                <w:color w:val="000000" w:themeColor="text1"/>
                <w:sz w:val="20"/>
                <w:szCs w:val="22"/>
              </w:rPr>
              <w:tab/>
            </w:r>
            <w:r w:rsidR="009B0373">
              <w:rPr>
                <w:rFonts w:eastAsia="Times New Roman"/>
                <w:color w:val="000000" w:themeColor="text1"/>
                <w:sz w:val="20"/>
                <w:szCs w:val="22"/>
              </w:rPr>
              <w:tab/>
            </w:r>
            <w:r w:rsidR="009B0373">
              <w:rPr>
                <w:rFonts w:eastAsia="Times New Roman"/>
                <w:color w:val="000000" w:themeColor="text1"/>
                <w:sz w:val="20"/>
                <w:szCs w:val="22"/>
              </w:rPr>
              <w:tab/>
            </w:r>
            <w:r w:rsidR="009B0373">
              <w:rPr>
                <w:rFonts w:eastAsia="Times New Roman"/>
                <w:color w:val="000000" w:themeColor="text1"/>
                <w:sz w:val="20"/>
                <w:szCs w:val="22"/>
              </w:rPr>
              <w:tab/>
            </w:r>
            <w:r w:rsidRPr="00893F38">
              <w:rPr>
                <w:rFonts w:eastAsia="Times New Roman"/>
                <w:b/>
                <w:color w:val="000000" w:themeColor="text1"/>
                <w:sz w:val="20"/>
                <w:szCs w:val="22"/>
              </w:rPr>
              <w:t>E3C</w:t>
            </w:r>
            <w:r>
              <w:rPr>
                <w:rFonts w:eastAsia="Times New Roman"/>
                <w:b/>
                <w:color w:val="000000" w:themeColor="text1"/>
                <w:sz w:val="20"/>
                <w:szCs w:val="22"/>
              </w:rPr>
              <w:t xml:space="preserve"> : </w:t>
            </w:r>
            <w:sdt>
              <w:sdtPr>
                <w:rPr>
                  <w:rFonts w:eastAsia="Times New Roman"/>
                  <w:color w:val="000000" w:themeColor="text1"/>
                  <w:sz w:val="20"/>
                  <w:szCs w:val="22"/>
                </w:rPr>
                <w:id w:val="199028399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E3C1</w:t>
            </w:r>
            <w:r w:rsidRPr="00626E0F">
              <w:rPr>
                <w:rFonts w:eastAsia="Times New Roman"/>
                <w:color w:val="000000" w:themeColor="text1"/>
                <w:sz w:val="20"/>
                <w:szCs w:val="22"/>
              </w:rPr>
              <w:t xml:space="preserve"> </w:t>
            </w:r>
            <w:sdt>
              <w:sdtPr>
                <w:rPr>
                  <w:rFonts w:eastAsia="Times New Roman"/>
                  <w:color w:val="000000" w:themeColor="text1"/>
                  <w:sz w:val="20"/>
                  <w:szCs w:val="22"/>
                </w:rPr>
                <w:id w:val="1774132376"/>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E3C2</w:t>
            </w:r>
            <w:r w:rsidRPr="00626E0F">
              <w:rPr>
                <w:rFonts w:eastAsia="Times New Roman"/>
                <w:color w:val="000000" w:themeColor="text1"/>
                <w:sz w:val="20"/>
                <w:szCs w:val="22"/>
              </w:rPr>
              <w:t xml:space="preserve"> </w:t>
            </w:r>
            <w:sdt>
              <w:sdtPr>
                <w:rPr>
                  <w:rFonts w:eastAsia="Times New Roman"/>
                  <w:color w:val="000000" w:themeColor="text1"/>
                  <w:sz w:val="20"/>
                  <w:szCs w:val="22"/>
                </w:rPr>
                <w:id w:val="12523113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E3C3</w:t>
            </w:r>
          </w:p>
          <w:p w14:paraId="5BEB5CA4" w14:textId="6887FD6C" w:rsidR="0089178E" w:rsidRPr="00626E0F" w:rsidRDefault="0089178E" w:rsidP="009B0373">
            <w:pPr>
              <w:spacing w:line="240" w:lineRule="auto"/>
              <w:ind w:left="34"/>
              <w:rPr>
                <w:rFonts w:eastAsia="Times New Roman"/>
                <w:b/>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1896242340"/>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w:t>
            </w:r>
            <w:r w:rsidR="009B0373">
              <w:rPr>
                <w:rFonts w:ascii="MS Gothic" w:eastAsia="MS Gothic" w:hAnsi="MS Gothic"/>
                <w:color w:val="000000" w:themeColor="text1"/>
                <w:sz w:val="20"/>
                <w:szCs w:val="22"/>
              </w:rPr>
              <w:tab/>
            </w:r>
            <w:r w:rsidR="009B0373">
              <w:rPr>
                <w:rFonts w:ascii="MS Gothic" w:eastAsia="MS Gothic" w:hAnsi="MS Gothic"/>
                <w:color w:val="000000" w:themeColor="text1"/>
                <w:sz w:val="20"/>
                <w:szCs w:val="22"/>
              </w:rPr>
              <w:tab/>
            </w:r>
            <w:r w:rsidR="009B0373">
              <w:rPr>
                <w:rFonts w:ascii="MS Gothic" w:eastAsia="MS Gothic" w:hAnsi="MS Gothic"/>
                <w:color w:val="000000" w:themeColor="text1"/>
                <w:sz w:val="20"/>
                <w:szCs w:val="22"/>
              </w:rPr>
              <w:tab/>
            </w:r>
            <w:r w:rsidR="009B0373">
              <w:rPr>
                <w:rFonts w:ascii="MS Gothic" w:eastAsia="MS Gothic" w:hAnsi="MS Gothic"/>
                <w:color w:val="000000" w:themeColor="text1"/>
                <w:sz w:val="20"/>
                <w:szCs w:val="22"/>
              </w:rPr>
              <w:tab/>
            </w:r>
            <w:r w:rsidRPr="00626E0F">
              <w:rPr>
                <w:rFonts w:eastAsia="Times New Roman"/>
                <w:b/>
                <w:color w:val="000000" w:themeColor="text1"/>
                <w:sz w:val="20"/>
                <w:szCs w:val="22"/>
              </w:rPr>
              <w:t>ENSEIGNEMENT :</w:t>
            </w:r>
            <w:r>
              <w:rPr>
                <w:rFonts w:eastAsia="Times New Roman"/>
                <w:b/>
                <w:color w:val="000000" w:themeColor="text1"/>
                <w:sz w:val="20"/>
                <w:szCs w:val="22"/>
              </w:rPr>
              <w:t xml:space="preserve"> physique-chimie</w:t>
            </w:r>
          </w:p>
          <w:p w14:paraId="1057C7DD" w14:textId="72C2D480" w:rsidR="0089178E" w:rsidRPr="00626E0F" w:rsidRDefault="0089178E" w:rsidP="009B0373">
            <w:pPr>
              <w:spacing w:line="240" w:lineRule="auto"/>
              <w:ind w:left="0"/>
              <w:rPr>
                <w:rFonts w:eastAsia="Times New Roman"/>
                <w:b/>
                <w:color w:val="000000" w:themeColor="text1"/>
                <w:sz w:val="22"/>
                <w:szCs w:val="22"/>
              </w:rPr>
            </w:pPr>
            <w:r w:rsidRPr="00626E0F">
              <w:rPr>
                <w:rFonts w:eastAsia="Times New Roman"/>
                <w:b/>
                <w:color w:val="000000" w:themeColor="text1"/>
                <w:sz w:val="20"/>
                <w:szCs w:val="22"/>
              </w:rPr>
              <w:t>DURÉE DE L’ÉPREUVE :</w:t>
            </w:r>
            <w:r>
              <w:rPr>
                <w:rFonts w:eastAsia="Times New Roman"/>
                <w:color w:val="000000" w:themeColor="text1"/>
                <w:sz w:val="20"/>
                <w:szCs w:val="22"/>
              </w:rPr>
              <w:t xml:space="preserve"> 2 h</w:t>
            </w:r>
            <w:r w:rsidR="009B0373">
              <w:rPr>
                <w:rFonts w:eastAsia="Times New Roman"/>
                <w:color w:val="000000" w:themeColor="text1"/>
                <w:sz w:val="20"/>
                <w:szCs w:val="22"/>
              </w:rPr>
              <w:tab/>
            </w:r>
            <w:r w:rsidR="009B0373">
              <w:rPr>
                <w:rFonts w:eastAsia="Times New Roman"/>
                <w:color w:val="000000" w:themeColor="text1"/>
                <w:sz w:val="20"/>
                <w:szCs w:val="22"/>
              </w:rPr>
              <w:tab/>
            </w:r>
            <w:r w:rsidR="009B0373">
              <w:rPr>
                <w:rFonts w:eastAsia="Times New Roman"/>
                <w:color w:val="000000" w:themeColor="text1"/>
                <w:sz w:val="20"/>
                <w:szCs w:val="22"/>
              </w:rPr>
              <w:tab/>
            </w:r>
            <w:r>
              <w:rPr>
                <w:rFonts w:eastAsia="Times New Roman"/>
                <w:b/>
                <w:color w:val="000000" w:themeColor="text1"/>
                <w:sz w:val="20"/>
                <w:szCs w:val="22"/>
              </w:rPr>
              <w:t>CALCULATRICE AUTORIS</w:t>
            </w:r>
            <w:r>
              <w:rPr>
                <w:rFonts w:eastAsia="Times New Roman" w:cs="Arial"/>
                <w:b/>
                <w:color w:val="000000" w:themeColor="text1"/>
                <w:sz w:val="20"/>
                <w:szCs w:val="22"/>
              </w:rPr>
              <w:t xml:space="preserve">ÉE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988758419"/>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631906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Non</w:t>
            </w:r>
          </w:p>
        </w:tc>
      </w:tr>
    </w:tbl>
    <w:p w14:paraId="566BB228" w14:textId="77777777" w:rsidR="00101DE0" w:rsidRDefault="00101DE0" w:rsidP="009A21E4">
      <w:pPr>
        <w:spacing w:after="200" w:line="276" w:lineRule="auto"/>
        <w:ind w:left="0"/>
        <w:jc w:val="center"/>
        <w:rPr>
          <w:rFonts w:eastAsiaTheme="minorHAnsi" w:cs="Arial"/>
          <w:b/>
          <w:lang w:eastAsia="en-US"/>
        </w:rPr>
      </w:pPr>
    </w:p>
    <w:p w14:paraId="4F157581" w14:textId="6D1B968E" w:rsidR="009A21E4" w:rsidRPr="009A21E4" w:rsidRDefault="009A21E4" w:rsidP="009A21E4">
      <w:pPr>
        <w:spacing w:after="200" w:line="276" w:lineRule="auto"/>
        <w:ind w:left="0"/>
        <w:jc w:val="center"/>
        <w:rPr>
          <w:rFonts w:eastAsiaTheme="minorHAnsi" w:cs="Arial"/>
          <w:b/>
          <w:lang w:eastAsia="en-US"/>
        </w:rPr>
      </w:pPr>
      <w:r w:rsidRPr="009A21E4">
        <w:rPr>
          <w:rFonts w:eastAsiaTheme="minorHAnsi" w:cs="Arial"/>
          <w:b/>
          <w:lang w:eastAsia="en-US"/>
        </w:rPr>
        <w:t>Le bleu de méthylène en médecine et en biologie (10 points)</w:t>
      </w:r>
    </w:p>
    <w:p w14:paraId="0549BADF" w14:textId="77777777" w:rsidR="009A21E4" w:rsidRPr="009A21E4" w:rsidRDefault="009A21E4" w:rsidP="009A21E4">
      <w:pPr>
        <w:spacing w:after="0" w:line="240" w:lineRule="auto"/>
        <w:ind w:left="0"/>
        <w:jc w:val="both"/>
        <w:rPr>
          <w:rFonts w:eastAsia="Times New Roman" w:cs="Arial"/>
        </w:rPr>
      </w:pPr>
      <w:r w:rsidRPr="009A21E4">
        <w:rPr>
          <w:rFonts w:eastAsia="Times New Roman" w:cs="Arial"/>
        </w:rPr>
        <w:t xml:space="preserve">Le </w:t>
      </w:r>
      <w:hyperlink r:id="rId8" w:tooltip="Le bleu de méthylène ralentirait le vieillissement de la peau" w:history="1">
        <w:r w:rsidRPr="009A21E4">
          <w:rPr>
            <w:rFonts w:eastAsia="Times New Roman" w:cs="Arial"/>
          </w:rPr>
          <w:t>bleu de méthylène</w:t>
        </w:r>
      </w:hyperlink>
      <w:r w:rsidRPr="009A21E4">
        <w:rPr>
          <w:rFonts w:eastAsia="Times New Roman" w:cs="Arial"/>
        </w:rPr>
        <w:t xml:space="preserve"> est une espèce chimique organique de </w:t>
      </w:r>
      <w:hyperlink r:id="rId9" w:tgtFrame="_blank" w:tooltip="Bleu de méthylène" w:history="1">
        <w:r w:rsidRPr="009A21E4">
          <w:rPr>
            <w:rFonts w:eastAsia="Times New Roman" w:cs="Arial"/>
          </w:rPr>
          <w:t>formule brute</w:t>
        </w:r>
      </w:hyperlink>
      <w:r w:rsidRPr="009A21E4">
        <w:rPr>
          <w:rFonts w:eastAsia="Times New Roman" w:cs="Arial"/>
        </w:rPr>
        <w:t xml:space="preserve"> C</w:t>
      </w:r>
      <w:r w:rsidRPr="009A21E4">
        <w:rPr>
          <w:rFonts w:eastAsia="Times New Roman" w:cs="Arial"/>
          <w:vertAlign w:val="subscript"/>
        </w:rPr>
        <w:t>16</w:t>
      </w:r>
      <w:r w:rsidRPr="009A21E4">
        <w:rPr>
          <w:rFonts w:eastAsia="Times New Roman" w:cs="Arial"/>
        </w:rPr>
        <w:t>H</w:t>
      </w:r>
      <w:r w:rsidRPr="009A21E4">
        <w:rPr>
          <w:rFonts w:eastAsia="Times New Roman" w:cs="Arial"/>
          <w:vertAlign w:val="subscript"/>
        </w:rPr>
        <w:t>18</w:t>
      </w:r>
      <w:r w:rsidRPr="009A21E4">
        <w:rPr>
          <w:rFonts w:eastAsia="Times New Roman" w:cs="Arial"/>
        </w:rPr>
        <w:t>N</w:t>
      </w:r>
      <w:r w:rsidRPr="009A21E4">
        <w:rPr>
          <w:rFonts w:eastAsia="Times New Roman" w:cs="Arial"/>
          <w:vertAlign w:val="subscript"/>
        </w:rPr>
        <w:t>3</w:t>
      </w:r>
      <w:r w:rsidRPr="009A21E4">
        <w:rPr>
          <w:rFonts w:eastAsia="Times New Roman" w:cs="Arial"/>
        </w:rPr>
        <w:t xml:space="preserve">SCl. A l'état pur, le bleu de méthylène se présente sous la forme d'une poudre soluble dans l’eau. Il peut être utilisé, à la fois comme colorant ou comme médicament. Son action repose sur ses propriétés </w:t>
      </w:r>
      <w:proofErr w:type="spellStart"/>
      <w:r w:rsidRPr="009A21E4">
        <w:rPr>
          <w:rFonts w:eastAsia="Times New Roman" w:cs="Arial"/>
        </w:rPr>
        <w:t>oxydo</w:t>
      </w:r>
      <w:proofErr w:type="spellEnd"/>
      <w:r w:rsidRPr="009A21E4">
        <w:rPr>
          <w:rFonts w:eastAsia="Times New Roman" w:cs="Arial"/>
        </w:rPr>
        <w:t>-réductrices : sa forme oxydée est bleue et sa forme réduite est incolore.</w:t>
      </w:r>
    </w:p>
    <w:p w14:paraId="2DAF06EA" w14:textId="77777777" w:rsidR="009A21E4" w:rsidRPr="009A21E4" w:rsidRDefault="009A21E4" w:rsidP="009A21E4">
      <w:pPr>
        <w:spacing w:after="0" w:line="276" w:lineRule="auto"/>
        <w:ind w:left="0"/>
        <w:jc w:val="both"/>
        <w:rPr>
          <w:rFonts w:eastAsiaTheme="minorHAnsi" w:cs="Arial"/>
          <w:lang w:eastAsia="en-US"/>
        </w:rPr>
      </w:pPr>
      <w:r w:rsidRPr="009A21E4">
        <w:rPr>
          <w:rFonts w:eastAsiaTheme="minorHAnsi" w:cs="Arial"/>
          <w:lang w:eastAsia="en-US"/>
        </w:rPr>
        <w:t xml:space="preserve">Certaines propriétés du bleu de méthylène sont utilisées pour des expériences en biochimie. Par exemple, en présence de </w:t>
      </w:r>
      <w:hyperlink r:id="rId10" w:tgtFrame="_blank" w:tooltip="Le miracle bleu - l'oxydo-réduction du bleu de méthylène" w:history="1">
        <w:r w:rsidRPr="009A21E4">
          <w:rPr>
            <w:rFonts w:eastAsiaTheme="minorHAnsi" w:cs="Arial"/>
            <w:lang w:eastAsia="en-US"/>
          </w:rPr>
          <w:t>glucose</w:t>
        </w:r>
      </w:hyperlink>
      <w:r w:rsidRPr="009A21E4">
        <w:rPr>
          <w:rFonts w:eastAsiaTheme="minorHAnsi" w:cs="Arial"/>
          <w:lang w:eastAsia="en-US"/>
        </w:rPr>
        <w:t xml:space="preserve"> le bleu de méthylène est réduit et ce dernier se transforme en une espèce non colorée.</w:t>
      </w:r>
    </w:p>
    <w:p w14:paraId="2378BFB5" w14:textId="10AB6A26" w:rsidR="009A21E4" w:rsidRPr="009A21E4" w:rsidRDefault="009A21E4" w:rsidP="009A21E4">
      <w:pPr>
        <w:spacing w:after="0" w:line="240" w:lineRule="auto"/>
        <w:ind w:left="0"/>
        <w:jc w:val="both"/>
        <w:rPr>
          <w:rFonts w:eastAsiaTheme="minorHAnsi" w:cs="Arial"/>
          <w:lang w:eastAsia="en-US"/>
        </w:rPr>
      </w:pPr>
      <w:r w:rsidRPr="009A21E4">
        <w:rPr>
          <w:rFonts w:eastAsiaTheme="minorHAnsi" w:cs="Arial"/>
          <w:lang w:eastAsia="en-US"/>
        </w:rPr>
        <w:t xml:space="preserve">D’autres propriétés sont utilisées en médecine. Le bleu de méthylène peut servir à colorer des </w:t>
      </w:r>
      <w:hyperlink r:id="rId11" w:history="1">
        <w:r w:rsidRPr="009A21E4">
          <w:rPr>
            <w:rFonts w:eastAsiaTheme="minorHAnsi" w:cs="Arial"/>
            <w:lang w:eastAsia="en-US"/>
          </w:rPr>
          <w:t>bactéries</w:t>
        </w:r>
      </w:hyperlink>
      <w:r w:rsidRPr="009A21E4">
        <w:rPr>
          <w:rFonts w:eastAsiaTheme="minorHAnsi" w:cs="Arial"/>
          <w:lang w:eastAsia="en-US"/>
        </w:rPr>
        <w:t xml:space="preserve"> pour les visualiser au </w:t>
      </w:r>
      <w:hyperlink r:id="rId12" w:history="1">
        <w:r w:rsidRPr="009A21E4">
          <w:rPr>
            <w:rFonts w:eastAsiaTheme="minorHAnsi" w:cs="Arial"/>
            <w:lang w:eastAsia="en-US"/>
          </w:rPr>
          <w:t>microscope</w:t>
        </w:r>
      </w:hyperlink>
      <w:r w:rsidRPr="009A21E4">
        <w:rPr>
          <w:rFonts w:eastAsiaTheme="minorHAnsi" w:cs="Arial"/>
          <w:lang w:eastAsia="en-US"/>
        </w:rPr>
        <w:t xml:space="preserve">. Quand il entre dans le </w:t>
      </w:r>
      <w:hyperlink r:id="rId13" w:history="1">
        <w:r w:rsidRPr="009A21E4">
          <w:rPr>
            <w:rFonts w:eastAsiaTheme="minorHAnsi" w:cs="Arial"/>
            <w:lang w:eastAsia="en-US"/>
          </w:rPr>
          <w:t>cytoplasme</w:t>
        </w:r>
      </w:hyperlink>
      <w:r w:rsidRPr="009A21E4">
        <w:rPr>
          <w:rFonts w:eastAsiaTheme="minorHAnsi" w:cs="Arial"/>
          <w:lang w:eastAsia="en-US"/>
        </w:rPr>
        <w:t xml:space="preserve"> d'une cellule vivante, le bleu de méthylène est réduit car c'est un environnement réducteur : les cellules vivantes paraissent incolores. En revanche, des cellules mortes sont colorées en bleu car le bleu de méthylène y reste sous sa forme oxydé.</w:t>
      </w:r>
    </w:p>
    <w:p w14:paraId="6A5F47D6" w14:textId="77777777" w:rsidR="009A21E4" w:rsidRPr="009A21E4" w:rsidRDefault="009A21E4" w:rsidP="009A21E4">
      <w:pPr>
        <w:spacing w:after="0" w:line="240" w:lineRule="auto"/>
        <w:ind w:left="0"/>
        <w:jc w:val="right"/>
        <w:rPr>
          <w:rFonts w:eastAsiaTheme="minorHAnsi" w:cs="Arial"/>
          <w:i/>
          <w:u w:val="single"/>
          <w:lang w:eastAsia="en-US"/>
        </w:rPr>
      </w:pPr>
      <w:r w:rsidRPr="009A21E4">
        <w:rPr>
          <w:rFonts w:eastAsiaTheme="minorHAnsi" w:cs="Arial"/>
          <w:i/>
          <w:u w:val="single"/>
          <w:lang w:eastAsia="en-US"/>
        </w:rPr>
        <w:t>D’après </w:t>
      </w:r>
      <w:hyperlink r:id="rId14" w:history="1">
        <w:r w:rsidRPr="009A21E4">
          <w:rPr>
            <w:rFonts w:eastAsiaTheme="minorHAnsi" w:cs="Arial"/>
            <w:i/>
            <w:u w:val="single"/>
            <w:lang w:eastAsia="en-US"/>
          </w:rPr>
          <w:t>www.futura-sciences.com</w:t>
        </w:r>
      </w:hyperlink>
    </w:p>
    <w:p w14:paraId="1B13E87B" w14:textId="77777777" w:rsidR="009A21E4" w:rsidRDefault="009A21E4" w:rsidP="009A21E4">
      <w:pPr>
        <w:spacing w:after="200" w:line="276" w:lineRule="auto"/>
        <w:ind w:left="0"/>
        <w:rPr>
          <w:rFonts w:eastAsiaTheme="minorHAnsi" w:cs="Arial"/>
          <w:lang w:eastAsia="en-US"/>
        </w:rPr>
      </w:pPr>
    </w:p>
    <w:p w14:paraId="7D47E480" w14:textId="77777777" w:rsidR="009A21E4" w:rsidRPr="009A21E4" w:rsidRDefault="009A21E4" w:rsidP="003D3231">
      <w:pPr>
        <w:spacing w:after="200" w:line="276" w:lineRule="auto"/>
        <w:ind w:left="0"/>
        <w:jc w:val="both"/>
        <w:rPr>
          <w:rFonts w:eastAsiaTheme="minorHAnsi" w:cs="Arial"/>
          <w:lang w:eastAsia="en-US"/>
        </w:rPr>
      </w:pPr>
      <w:r w:rsidRPr="009A21E4">
        <w:rPr>
          <w:rFonts w:eastAsiaTheme="minorHAnsi" w:cs="Arial"/>
          <w:lang w:eastAsia="en-US"/>
        </w:rPr>
        <w:t>L’objectif de cet exercice est d’étudier une propriété du bleu de méthylène puis d’effectuer un contrôle de qualité, par dosage spectrophotométrique, d’une préparation microscopique utilisée dans le domaine de la santé.</w:t>
      </w:r>
    </w:p>
    <w:p w14:paraId="4A160267" w14:textId="77777777" w:rsidR="009A21E4" w:rsidRPr="006A50F6" w:rsidRDefault="009A21E4" w:rsidP="009A21E4">
      <w:pPr>
        <w:spacing w:after="200" w:line="276" w:lineRule="auto"/>
        <w:ind w:left="0"/>
        <w:rPr>
          <w:rFonts w:eastAsiaTheme="minorHAnsi" w:cs="Arial"/>
          <w:b/>
          <w:sz w:val="19"/>
          <w:lang w:eastAsia="en-US"/>
        </w:rPr>
      </w:pPr>
      <w:r w:rsidRPr="006A50F6">
        <w:rPr>
          <w:rFonts w:eastAsiaTheme="minorHAnsi" w:cs="Arial"/>
          <w:b/>
          <w:sz w:val="19"/>
          <w:lang w:eastAsia="en-US"/>
        </w:rPr>
        <w:t>Partie 1 : Propriétés oxydantes du bleu de méthylène</w:t>
      </w:r>
    </w:p>
    <w:p w14:paraId="496705A8" w14:textId="77777777" w:rsidR="009A21E4" w:rsidRPr="009A21E4" w:rsidRDefault="009A21E4" w:rsidP="009A21E4">
      <w:pPr>
        <w:spacing w:after="0" w:line="276" w:lineRule="auto"/>
        <w:ind w:left="0"/>
        <w:rPr>
          <w:rFonts w:eastAsiaTheme="minorHAnsi" w:cs="Arial"/>
          <w:lang w:eastAsia="en-US"/>
        </w:rPr>
      </w:pPr>
      <w:r w:rsidRPr="009A21E4">
        <w:rPr>
          <w:rFonts w:eastAsiaTheme="minorHAnsi" w:cs="Arial"/>
          <w:lang w:eastAsia="en-US"/>
        </w:rPr>
        <w:t xml:space="preserve">Un extrait de protocole est donné ci-dessous : </w:t>
      </w:r>
    </w:p>
    <w:p w14:paraId="1050C883" w14:textId="77777777" w:rsidR="009A21E4" w:rsidRPr="009A21E4" w:rsidRDefault="009A21E4" w:rsidP="003D3231">
      <w:pPr>
        <w:spacing w:after="0" w:line="276" w:lineRule="auto"/>
        <w:ind w:left="0"/>
        <w:jc w:val="both"/>
        <w:rPr>
          <w:rFonts w:eastAsiaTheme="minorHAnsi" w:cs="Arial"/>
          <w:i/>
          <w:lang w:eastAsia="en-US"/>
        </w:rPr>
      </w:pPr>
      <w:r w:rsidRPr="009A21E4">
        <w:rPr>
          <w:rFonts w:eastAsiaTheme="minorHAnsi" w:cs="Arial"/>
          <w:lang w:eastAsia="en-US"/>
        </w:rPr>
        <w:t>« </w:t>
      </w:r>
      <w:r w:rsidRPr="009A21E4">
        <w:rPr>
          <w:rFonts w:eastAsiaTheme="minorHAnsi" w:cs="Arial"/>
          <w:i/>
          <w:lang w:eastAsia="en-US"/>
        </w:rPr>
        <w:t>Dans un erlenmeyer contenant une solution aqueuse de glucose, on ajoute une solution de bleu de méthylène BM</w:t>
      </w:r>
      <w:r w:rsidRPr="009A21E4">
        <w:rPr>
          <w:rFonts w:eastAsiaTheme="minorHAnsi" w:cs="Arial"/>
          <w:i/>
          <w:vertAlign w:val="superscript"/>
          <w:lang w:eastAsia="en-US"/>
        </w:rPr>
        <w:t>+</w:t>
      </w:r>
      <w:r w:rsidRPr="009A21E4">
        <w:rPr>
          <w:rFonts w:eastAsiaTheme="minorHAnsi" w:cs="Arial"/>
          <w:i/>
          <w:vertAlign w:val="subscript"/>
          <w:lang w:eastAsia="en-US"/>
        </w:rPr>
        <w:t>(</w:t>
      </w:r>
      <w:proofErr w:type="spellStart"/>
      <w:r w:rsidRPr="009A21E4">
        <w:rPr>
          <w:rFonts w:eastAsiaTheme="minorHAnsi" w:cs="Arial"/>
          <w:i/>
          <w:vertAlign w:val="subscript"/>
          <w:lang w:eastAsia="en-US"/>
        </w:rPr>
        <w:t>aq</w:t>
      </w:r>
      <w:proofErr w:type="spellEnd"/>
      <w:r w:rsidRPr="009A21E4">
        <w:rPr>
          <w:rFonts w:eastAsiaTheme="minorHAnsi" w:cs="Arial"/>
          <w:i/>
          <w:vertAlign w:val="subscript"/>
          <w:lang w:eastAsia="en-US"/>
        </w:rPr>
        <w:t>)</w:t>
      </w:r>
      <w:r w:rsidRPr="009A21E4">
        <w:rPr>
          <w:rFonts w:eastAsiaTheme="minorHAnsi" w:cs="Arial"/>
          <w:i/>
          <w:lang w:eastAsia="en-US"/>
        </w:rPr>
        <w:t>. Le mélange, initialement bleu, devient progressivement incolore</w:t>
      </w:r>
      <w:r w:rsidRPr="009A21E4">
        <w:rPr>
          <w:rFonts w:eastAsiaTheme="minorHAnsi" w:cs="Arial"/>
          <w:lang w:eastAsia="en-US"/>
        </w:rPr>
        <w:t> ».</w:t>
      </w:r>
    </w:p>
    <w:p w14:paraId="06291233" w14:textId="77777777" w:rsidR="009A21E4" w:rsidRPr="009A21E4" w:rsidRDefault="009A21E4" w:rsidP="009A21E4">
      <w:pPr>
        <w:spacing w:after="0" w:line="276" w:lineRule="auto"/>
        <w:ind w:left="0"/>
        <w:jc w:val="both"/>
        <w:rPr>
          <w:rFonts w:eastAsiaTheme="minorHAnsi" w:cs="Arial"/>
          <w:lang w:eastAsia="en-US"/>
        </w:rPr>
      </w:pPr>
    </w:p>
    <w:p w14:paraId="70ABE260" w14:textId="77777777" w:rsidR="009A21E4" w:rsidRPr="009A21E4" w:rsidRDefault="009A21E4" w:rsidP="009A21E4">
      <w:pPr>
        <w:tabs>
          <w:tab w:val="left" w:pos="540"/>
        </w:tabs>
        <w:spacing w:after="0" w:line="276" w:lineRule="auto"/>
        <w:ind w:left="0"/>
        <w:jc w:val="both"/>
        <w:rPr>
          <w:rFonts w:eastAsiaTheme="minorHAnsi" w:cs="Arial"/>
          <w:lang w:eastAsia="en-US"/>
        </w:rPr>
      </w:pPr>
      <w:r w:rsidRPr="009A21E4">
        <w:rPr>
          <w:rFonts w:eastAsiaTheme="minorHAnsi" w:cs="Arial"/>
          <w:bCs/>
          <w:lang w:eastAsia="en-US"/>
        </w:rPr>
        <w:t>Couples oxydant-réducteur mis en jeu :</w:t>
      </w:r>
    </w:p>
    <w:p w14:paraId="0D187164" w14:textId="77777777" w:rsidR="009A21E4" w:rsidRPr="009A21E4" w:rsidRDefault="009A21E4" w:rsidP="003D3231">
      <w:pPr>
        <w:numPr>
          <w:ilvl w:val="0"/>
          <w:numId w:val="3"/>
        </w:numPr>
        <w:tabs>
          <w:tab w:val="left" w:pos="284"/>
        </w:tabs>
        <w:spacing w:after="0" w:line="240" w:lineRule="auto"/>
        <w:ind w:left="0" w:firstLine="0"/>
        <w:contextualSpacing/>
        <w:jc w:val="both"/>
        <w:rPr>
          <w:rFonts w:eastAsiaTheme="minorHAnsi" w:cs="Arial"/>
          <w:lang w:eastAsia="en-US"/>
        </w:rPr>
      </w:pPr>
      <w:r w:rsidRPr="009A21E4">
        <w:rPr>
          <w:rFonts w:eastAsiaTheme="minorHAnsi" w:cs="Arial"/>
          <w:lang w:eastAsia="en-US"/>
        </w:rPr>
        <w:t>BM</w:t>
      </w:r>
      <w:r w:rsidRPr="009A21E4">
        <w:rPr>
          <w:rFonts w:eastAsiaTheme="minorHAnsi" w:cs="Arial"/>
          <w:vertAlign w:val="superscript"/>
          <w:lang w:eastAsia="en-US"/>
        </w:rPr>
        <w:t>+</w:t>
      </w:r>
      <w:r w:rsidRPr="009A21E4">
        <w:rPr>
          <w:rFonts w:eastAsiaTheme="minorHAnsi" w:cs="Arial"/>
          <w:lang w:eastAsia="en-US"/>
        </w:rPr>
        <w:t>(</w:t>
      </w:r>
      <w:proofErr w:type="spellStart"/>
      <w:r w:rsidRPr="009A21E4">
        <w:rPr>
          <w:rFonts w:eastAsiaTheme="minorHAnsi" w:cs="Arial"/>
          <w:lang w:eastAsia="en-US"/>
        </w:rPr>
        <w:t>aq</w:t>
      </w:r>
      <w:proofErr w:type="spellEnd"/>
      <w:r w:rsidRPr="009A21E4">
        <w:rPr>
          <w:rFonts w:eastAsiaTheme="minorHAnsi" w:cs="Arial"/>
          <w:lang w:eastAsia="en-US"/>
        </w:rPr>
        <w:t xml:space="preserve">) / </w:t>
      </w:r>
      <w:proofErr w:type="gramStart"/>
      <w:r w:rsidRPr="009A21E4">
        <w:rPr>
          <w:rFonts w:eastAsiaTheme="minorHAnsi" w:cs="Arial"/>
          <w:lang w:eastAsia="en-US"/>
        </w:rPr>
        <w:t>BMH(</w:t>
      </w:r>
      <w:proofErr w:type="spellStart"/>
      <w:proofErr w:type="gramEnd"/>
      <w:r w:rsidRPr="009A21E4">
        <w:rPr>
          <w:rFonts w:eastAsiaTheme="minorHAnsi" w:cs="Arial"/>
          <w:lang w:eastAsia="en-US"/>
        </w:rPr>
        <w:t>aq</w:t>
      </w:r>
      <w:proofErr w:type="spellEnd"/>
      <w:r w:rsidRPr="009A21E4">
        <w:rPr>
          <w:rFonts w:eastAsiaTheme="minorHAnsi" w:cs="Arial"/>
          <w:lang w:eastAsia="en-US"/>
        </w:rPr>
        <w:t>)</w:t>
      </w:r>
    </w:p>
    <w:p w14:paraId="7DC2CE2F" w14:textId="77777777" w:rsidR="009A21E4" w:rsidRPr="009A21E4" w:rsidRDefault="009A21E4" w:rsidP="003D3231">
      <w:pPr>
        <w:numPr>
          <w:ilvl w:val="0"/>
          <w:numId w:val="3"/>
        </w:numPr>
        <w:tabs>
          <w:tab w:val="left" w:pos="284"/>
        </w:tabs>
        <w:spacing w:after="0" w:line="240" w:lineRule="auto"/>
        <w:ind w:left="0" w:firstLine="0"/>
        <w:contextualSpacing/>
        <w:jc w:val="both"/>
        <w:rPr>
          <w:rFonts w:eastAsiaTheme="minorHAnsi" w:cs="Arial"/>
          <w:lang w:eastAsia="en-US"/>
        </w:rPr>
      </w:pPr>
      <w:proofErr w:type="gramStart"/>
      <w:r w:rsidRPr="009A21E4">
        <w:rPr>
          <w:rFonts w:eastAsiaTheme="minorHAnsi" w:cs="Arial"/>
          <w:lang w:eastAsia="en-US"/>
        </w:rPr>
        <w:t>RCOOH(</w:t>
      </w:r>
      <w:proofErr w:type="spellStart"/>
      <w:proofErr w:type="gramEnd"/>
      <w:r w:rsidRPr="009A21E4">
        <w:rPr>
          <w:rFonts w:eastAsiaTheme="minorHAnsi" w:cs="Arial"/>
          <w:lang w:eastAsia="en-US"/>
        </w:rPr>
        <w:t>aq</w:t>
      </w:r>
      <w:proofErr w:type="spellEnd"/>
      <w:r w:rsidRPr="009A21E4">
        <w:rPr>
          <w:rFonts w:eastAsiaTheme="minorHAnsi" w:cs="Arial"/>
          <w:lang w:eastAsia="en-US"/>
        </w:rPr>
        <w:t>) / RCHO(</w:t>
      </w:r>
      <w:proofErr w:type="spellStart"/>
      <w:r w:rsidRPr="009A21E4">
        <w:rPr>
          <w:rFonts w:eastAsiaTheme="minorHAnsi" w:cs="Arial"/>
          <w:lang w:eastAsia="en-US"/>
        </w:rPr>
        <w:t>aq</w:t>
      </w:r>
      <w:proofErr w:type="spellEnd"/>
      <w:r w:rsidRPr="009A21E4">
        <w:rPr>
          <w:rFonts w:eastAsiaTheme="minorHAnsi" w:cs="Arial"/>
          <w:lang w:eastAsia="en-US"/>
        </w:rPr>
        <w:t>)</w:t>
      </w:r>
    </w:p>
    <w:p w14:paraId="356CDE81" w14:textId="77777777" w:rsidR="009A21E4" w:rsidRPr="009A21E4" w:rsidRDefault="009A21E4" w:rsidP="003D3231">
      <w:pPr>
        <w:numPr>
          <w:ilvl w:val="0"/>
          <w:numId w:val="3"/>
        </w:numPr>
        <w:tabs>
          <w:tab w:val="left" w:pos="284"/>
        </w:tabs>
        <w:spacing w:after="0" w:line="240" w:lineRule="auto"/>
        <w:ind w:left="0" w:firstLine="0"/>
        <w:contextualSpacing/>
        <w:jc w:val="both"/>
        <w:rPr>
          <w:rFonts w:eastAsiaTheme="minorHAnsi" w:cs="Arial"/>
          <w:lang w:eastAsia="en-US"/>
        </w:rPr>
      </w:pPr>
      <w:proofErr w:type="gramStart"/>
      <w:r w:rsidRPr="009A21E4">
        <w:rPr>
          <w:rFonts w:eastAsiaTheme="minorHAnsi" w:cs="Arial"/>
          <w:lang w:eastAsia="en-US"/>
        </w:rPr>
        <w:t>le</w:t>
      </w:r>
      <w:proofErr w:type="gramEnd"/>
      <w:r w:rsidRPr="009A21E4">
        <w:rPr>
          <w:rFonts w:eastAsiaTheme="minorHAnsi" w:cs="Arial"/>
          <w:lang w:eastAsia="en-US"/>
        </w:rPr>
        <w:t xml:space="preserve"> glucose est noté RCHO(</w:t>
      </w:r>
      <w:proofErr w:type="spellStart"/>
      <w:r w:rsidRPr="009A21E4">
        <w:rPr>
          <w:rFonts w:eastAsiaTheme="minorHAnsi" w:cs="Arial"/>
          <w:lang w:eastAsia="en-US"/>
        </w:rPr>
        <w:t>aq</w:t>
      </w:r>
      <w:proofErr w:type="spellEnd"/>
      <w:r w:rsidRPr="009A21E4">
        <w:rPr>
          <w:rFonts w:eastAsiaTheme="minorHAnsi" w:cs="Arial"/>
          <w:lang w:eastAsia="en-US"/>
        </w:rPr>
        <w:t>).</w:t>
      </w:r>
    </w:p>
    <w:p w14:paraId="316E8AAB" w14:textId="366320C0" w:rsidR="009A21E4" w:rsidRPr="009A21E4" w:rsidRDefault="009A21E4" w:rsidP="003D3231">
      <w:pPr>
        <w:numPr>
          <w:ilvl w:val="0"/>
          <w:numId w:val="3"/>
        </w:numPr>
        <w:tabs>
          <w:tab w:val="left" w:pos="284"/>
        </w:tabs>
        <w:spacing w:after="0" w:line="240" w:lineRule="auto"/>
        <w:ind w:left="0" w:firstLine="0"/>
        <w:contextualSpacing/>
        <w:jc w:val="both"/>
        <w:rPr>
          <w:rFonts w:eastAsiaTheme="minorHAnsi" w:cs="Arial"/>
          <w:lang w:eastAsia="en-US"/>
        </w:rPr>
      </w:pPr>
      <w:r w:rsidRPr="009A21E4">
        <w:rPr>
          <w:rFonts w:eastAsiaTheme="minorHAnsi" w:cs="Arial"/>
          <w:lang w:eastAsia="en-US"/>
        </w:rPr>
        <w:t>la forme oxydée du bleu de méthylène, noté BM</w:t>
      </w:r>
      <w:r w:rsidRPr="009A21E4">
        <w:rPr>
          <w:rFonts w:eastAsiaTheme="minorHAnsi" w:cs="Arial"/>
          <w:vertAlign w:val="superscript"/>
          <w:lang w:eastAsia="en-US"/>
        </w:rPr>
        <w:t>+</w:t>
      </w:r>
      <w:r w:rsidRPr="009A21E4">
        <w:rPr>
          <w:rFonts w:eastAsiaTheme="minorHAnsi" w:cs="Arial"/>
          <w:lang w:eastAsia="en-US"/>
        </w:rPr>
        <w:t>, est la seule espèce colorée en solution aqueuse.</w:t>
      </w:r>
    </w:p>
    <w:p w14:paraId="78CA827B" w14:textId="77777777" w:rsidR="009A21E4" w:rsidRPr="009A21E4" w:rsidRDefault="009A21E4" w:rsidP="009A21E4">
      <w:pPr>
        <w:numPr>
          <w:ilvl w:val="1"/>
          <w:numId w:val="4"/>
        </w:numPr>
        <w:spacing w:before="120" w:after="120" w:line="276" w:lineRule="auto"/>
        <w:contextualSpacing/>
        <w:jc w:val="both"/>
        <w:rPr>
          <w:rFonts w:eastAsiaTheme="minorHAnsi" w:cs="Arial"/>
          <w:lang w:eastAsia="en-US"/>
        </w:rPr>
      </w:pPr>
      <w:r w:rsidRPr="009A21E4">
        <w:rPr>
          <w:rFonts w:eastAsiaTheme="minorHAnsi" w:cs="Arial"/>
          <w:lang w:eastAsia="en-US"/>
        </w:rPr>
        <w:t>Donner la définition d’un oxydant.</w:t>
      </w:r>
    </w:p>
    <w:p w14:paraId="0BFCAA03" w14:textId="77777777" w:rsidR="009A21E4" w:rsidRPr="009A21E4" w:rsidRDefault="009A21E4" w:rsidP="009A21E4">
      <w:pPr>
        <w:numPr>
          <w:ilvl w:val="1"/>
          <w:numId w:val="4"/>
        </w:numPr>
        <w:spacing w:before="120" w:after="120" w:line="276" w:lineRule="auto"/>
        <w:contextualSpacing/>
        <w:jc w:val="both"/>
        <w:rPr>
          <w:rFonts w:eastAsiaTheme="minorHAnsi" w:cs="Arial"/>
          <w:lang w:eastAsia="en-US"/>
        </w:rPr>
      </w:pPr>
      <w:r w:rsidRPr="009A21E4">
        <w:rPr>
          <w:rFonts w:eastAsiaTheme="minorHAnsi" w:cs="Arial"/>
          <w:lang w:eastAsia="en-US"/>
        </w:rPr>
        <w:t>Donner la définition d’une réduction.</w:t>
      </w:r>
    </w:p>
    <w:p w14:paraId="7712FC32" w14:textId="77777777" w:rsidR="009A21E4" w:rsidRPr="009A21E4" w:rsidRDefault="009A21E4" w:rsidP="009A21E4">
      <w:pPr>
        <w:numPr>
          <w:ilvl w:val="1"/>
          <w:numId w:val="4"/>
        </w:numPr>
        <w:spacing w:before="120" w:after="120" w:line="276" w:lineRule="auto"/>
        <w:contextualSpacing/>
        <w:jc w:val="both"/>
        <w:rPr>
          <w:rFonts w:eastAsiaTheme="minorHAnsi" w:cs="Arial"/>
          <w:lang w:eastAsia="en-US"/>
        </w:rPr>
      </w:pPr>
      <w:r w:rsidRPr="009A21E4">
        <w:rPr>
          <w:rFonts w:eastAsiaTheme="minorHAnsi" w:cs="Arial"/>
          <w:lang w:eastAsia="en-US"/>
        </w:rPr>
        <w:t>Écrire les demi-équations électroniques relatives aux couples du bleu de méthylène BM</w:t>
      </w:r>
      <w:r w:rsidRPr="009A21E4">
        <w:rPr>
          <w:rFonts w:eastAsiaTheme="minorHAnsi" w:cs="Arial"/>
          <w:vertAlign w:val="superscript"/>
          <w:lang w:eastAsia="en-US"/>
        </w:rPr>
        <w:t>+</w:t>
      </w:r>
      <w:r w:rsidRPr="009A21E4">
        <w:rPr>
          <w:rFonts w:eastAsiaTheme="minorHAnsi" w:cs="Arial"/>
          <w:lang w:eastAsia="en-US"/>
        </w:rPr>
        <w:t>(</w:t>
      </w:r>
      <w:proofErr w:type="spellStart"/>
      <w:r w:rsidRPr="009A21E4">
        <w:rPr>
          <w:rFonts w:eastAsiaTheme="minorHAnsi" w:cs="Arial"/>
          <w:lang w:eastAsia="en-US"/>
        </w:rPr>
        <w:t>aq</w:t>
      </w:r>
      <w:proofErr w:type="spellEnd"/>
      <w:r w:rsidRPr="009A21E4">
        <w:rPr>
          <w:rFonts w:eastAsiaTheme="minorHAnsi" w:cs="Arial"/>
          <w:lang w:eastAsia="en-US"/>
        </w:rPr>
        <w:t xml:space="preserve">) / </w:t>
      </w:r>
      <w:proofErr w:type="gramStart"/>
      <w:r w:rsidRPr="009A21E4">
        <w:rPr>
          <w:rFonts w:eastAsiaTheme="minorHAnsi" w:cs="Arial"/>
          <w:lang w:eastAsia="en-US"/>
        </w:rPr>
        <w:t>BMH(</w:t>
      </w:r>
      <w:proofErr w:type="spellStart"/>
      <w:proofErr w:type="gramEnd"/>
      <w:r w:rsidRPr="009A21E4">
        <w:rPr>
          <w:rFonts w:eastAsiaTheme="minorHAnsi" w:cs="Arial"/>
          <w:lang w:eastAsia="en-US"/>
        </w:rPr>
        <w:t>aq</w:t>
      </w:r>
      <w:proofErr w:type="spellEnd"/>
      <w:r w:rsidRPr="009A21E4">
        <w:rPr>
          <w:rFonts w:eastAsiaTheme="minorHAnsi" w:cs="Arial"/>
          <w:lang w:eastAsia="en-US"/>
        </w:rPr>
        <w:t>) et du glucose RCOOH(</w:t>
      </w:r>
      <w:proofErr w:type="spellStart"/>
      <w:r w:rsidRPr="009A21E4">
        <w:rPr>
          <w:rFonts w:eastAsiaTheme="minorHAnsi" w:cs="Arial"/>
          <w:lang w:eastAsia="en-US"/>
        </w:rPr>
        <w:t>aq</w:t>
      </w:r>
      <w:proofErr w:type="spellEnd"/>
      <w:r w:rsidRPr="009A21E4">
        <w:rPr>
          <w:rFonts w:eastAsiaTheme="minorHAnsi" w:cs="Arial"/>
          <w:lang w:eastAsia="en-US"/>
        </w:rPr>
        <w:t>) / RCHO(</w:t>
      </w:r>
      <w:proofErr w:type="spellStart"/>
      <w:r w:rsidRPr="009A21E4">
        <w:rPr>
          <w:rFonts w:eastAsiaTheme="minorHAnsi" w:cs="Arial"/>
          <w:lang w:eastAsia="en-US"/>
        </w:rPr>
        <w:t>aq</w:t>
      </w:r>
      <w:proofErr w:type="spellEnd"/>
      <w:r w:rsidRPr="009A21E4">
        <w:rPr>
          <w:rFonts w:eastAsiaTheme="minorHAnsi" w:cs="Arial"/>
          <w:lang w:eastAsia="en-US"/>
        </w:rPr>
        <w:t>)</w:t>
      </w:r>
    </w:p>
    <w:p w14:paraId="7E9F9312" w14:textId="354BB1B8" w:rsidR="009A21E4" w:rsidRDefault="009A21E4" w:rsidP="009A21E4">
      <w:pPr>
        <w:numPr>
          <w:ilvl w:val="1"/>
          <w:numId w:val="4"/>
        </w:numPr>
        <w:spacing w:before="120" w:after="120" w:line="276" w:lineRule="auto"/>
        <w:contextualSpacing/>
        <w:jc w:val="both"/>
        <w:rPr>
          <w:rFonts w:eastAsiaTheme="minorHAnsi" w:cs="Arial"/>
          <w:lang w:eastAsia="en-US"/>
        </w:rPr>
      </w:pPr>
      <w:r w:rsidRPr="009A21E4">
        <w:rPr>
          <w:rFonts w:eastAsiaTheme="minorHAnsi" w:cs="Arial"/>
          <w:lang w:eastAsia="en-US"/>
        </w:rPr>
        <w:t>En déduire l’équation de la réaction modélisant la transformation décrite dans l’extrait du protocole.</w:t>
      </w:r>
    </w:p>
    <w:p w14:paraId="33EDA1B5" w14:textId="3E6169A1" w:rsidR="003D3231" w:rsidRDefault="003D3231">
      <w:pPr>
        <w:spacing w:after="0" w:line="240" w:lineRule="auto"/>
        <w:ind w:left="0"/>
        <w:rPr>
          <w:rFonts w:eastAsiaTheme="minorHAnsi" w:cs="Arial"/>
          <w:lang w:eastAsia="en-US"/>
        </w:rPr>
      </w:pPr>
      <w:r>
        <w:rPr>
          <w:rFonts w:eastAsiaTheme="minorHAnsi" w:cs="Arial"/>
          <w:lang w:eastAsia="en-US"/>
        </w:rPr>
        <w:br w:type="page"/>
      </w:r>
    </w:p>
    <w:p w14:paraId="4ADA238E" w14:textId="77777777" w:rsidR="009A21E4" w:rsidRPr="009A21E4" w:rsidRDefault="009A21E4" w:rsidP="009A21E4">
      <w:pPr>
        <w:spacing w:after="200" w:line="276" w:lineRule="auto"/>
        <w:ind w:left="0"/>
        <w:rPr>
          <w:rFonts w:eastAsiaTheme="minorHAnsi" w:cs="Arial"/>
          <w:b/>
          <w:lang w:eastAsia="en-US"/>
        </w:rPr>
      </w:pPr>
      <w:r w:rsidRPr="009A21E4">
        <w:rPr>
          <w:rFonts w:eastAsiaTheme="minorHAnsi" w:cs="Arial"/>
          <w:b/>
          <w:lang w:eastAsia="en-US"/>
        </w:rPr>
        <w:lastRenderedPageBreak/>
        <w:t>Partie 2 : Dosage d’une solution de bleu de méthylène</w:t>
      </w:r>
    </w:p>
    <w:p w14:paraId="2D92EEC1" w14:textId="77777777" w:rsidR="009A21E4" w:rsidRPr="009A21E4" w:rsidRDefault="009A21E4" w:rsidP="009A21E4">
      <w:pPr>
        <w:spacing w:after="0" w:line="240" w:lineRule="auto"/>
        <w:ind w:left="0"/>
        <w:jc w:val="both"/>
        <w:rPr>
          <w:rFonts w:eastAsiaTheme="minorHAnsi" w:cs="Arial"/>
          <w:lang w:eastAsia="en-US"/>
        </w:rPr>
      </w:pPr>
      <w:r w:rsidRPr="009A21E4">
        <w:rPr>
          <w:rFonts w:eastAsiaTheme="minorHAnsi" w:cs="Arial"/>
          <w:lang w:eastAsia="en-US"/>
        </w:rPr>
        <w:t xml:space="preserve">Le bleu de méthylène est un colorant pour préparation microscopique utilisé essentiellement pour colorer les noyaux des cellules afin d’apprécier le nombre de cellules mortes. </w:t>
      </w:r>
    </w:p>
    <w:p w14:paraId="78DE38BA" w14:textId="77777777" w:rsidR="009A21E4" w:rsidRPr="009A21E4" w:rsidRDefault="009A21E4" w:rsidP="009A21E4">
      <w:pPr>
        <w:spacing w:after="0" w:line="240" w:lineRule="auto"/>
        <w:ind w:left="0"/>
        <w:jc w:val="both"/>
        <w:rPr>
          <w:rFonts w:eastAsiaTheme="minorHAnsi" w:cs="Arial"/>
          <w:lang w:eastAsia="en-US"/>
        </w:rPr>
      </w:pPr>
      <w:r w:rsidRPr="009A21E4">
        <w:rPr>
          <w:rFonts w:eastAsiaTheme="minorHAnsi" w:cs="Arial"/>
          <w:lang w:eastAsia="en-US"/>
        </w:rPr>
        <w:t>Un technicien de laboratoire souhaite déterminer avec précision la concentration du colorant dans une solution S dont l'étiquette porte l'indication suivante :</w:t>
      </w:r>
    </w:p>
    <w:p w14:paraId="003336E1" w14:textId="684E6EC9" w:rsidR="009A21E4" w:rsidRPr="009A21E4" w:rsidRDefault="009A21E4" w:rsidP="009A21E4">
      <w:pPr>
        <w:spacing w:after="0" w:line="240" w:lineRule="auto"/>
        <w:ind w:left="0"/>
        <w:jc w:val="center"/>
        <w:rPr>
          <w:rFonts w:eastAsiaTheme="minorHAnsi" w:cs="Arial"/>
          <w:b/>
          <w:lang w:eastAsia="en-US"/>
        </w:rPr>
      </w:pPr>
      <w:r w:rsidRPr="009A21E4">
        <w:rPr>
          <w:rFonts w:eastAsiaTheme="minorHAnsi" w:cs="Arial"/>
          <w:b/>
          <w:lang w:eastAsia="en-US"/>
        </w:rPr>
        <w:t>« Bleu de méthylène 3,2</w:t>
      </w:r>
      <w:r w:rsidR="00476663">
        <w:rPr>
          <w:rFonts w:eastAsiaTheme="minorHAnsi" w:cs="Arial"/>
          <w:b/>
          <w:lang w:eastAsia="en-US"/>
        </w:rPr>
        <w:t> </w:t>
      </w:r>
      <w:proofErr w:type="gramStart"/>
      <w:r w:rsidRPr="009A21E4">
        <w:rPr>
          <w:rFonts w:eastAsiaTheme="minorHAnsi" w:cs="Arial"/>
          <w:b/>
          <w:lang w:eastAsia="en-US"/>
        </w:rPr>
        <w:t>mmol.L</w:t>
      </w:r>
      <w:proofErr w:type="gramEnd"/>
      <w:r w:rsidRPr="009A21E4">
        <w:rPr>
          <w:rFonts w:eastAsiaTheme="minorHAnsi" w:cs="Arial"/>
          <w:b/>
          <w:vertAlign w:val="superscript"/>
          <w:lang w:eastAsia="en-US"/>
        </w:rPr>
        <w:t>-1</w:t>
      </w:r>
      <w:r w:rsidRPr="009A21E4">
        <w:rPr>
          <w:rFonts w:eastAsiaTheme="minorHAnsi" w:cs="Arial"/>
          <w:b/>
          <w:lang w:eastAsia="en-US"/>
        </w:rPr>
        <w:t> »</w:t>
      </w:r>
    </w:p>
    <w:p w14:paraId="47CCFA3A" w14:textId="77777777" w:rsidR="009A21E4" w:rsidRPr="009A21E4" w:rsidRDefault="009A21E4" w:rsidP="004278EB">
      <w:pPr>
        <w:spacing w:after="0" w:line="240" w:lineRule="auto"/>
        <w:ind w:left="0"/>
        <w:jc w:val="both"/>
        <w:rPr>
          <w:rFonts w:eastAsiaTheme="minorHAnsi" w:cs="Arial"/>
          <w:lang w:eastAsia="en-US"/>
        </w:rPr>
      </w:pPr>
      <w:r w:rsidRPr="009A21E4">
        <w:rPr>
          <w:rFonts w:eastAsiaTheme="minorHAnsi" w:cs="Arial"/>
          <w:lang w:eastAsia="en-US"/>
        </w:rPr>
        <w:t xml:space="preserve">On note </w:t>
      </w:r>
      <w:r w:rsidRPr="009A21E4">
        <w:rPr>
          <w:rFonts w:eastAsiaTheme="minorHAnsi" w:cs="Arial"/>
          <w:i/>
          <w:iCs/>
          <w:lang w:eastAsia="en-US"/>
        </w:rPr>
        <w:t>C</w:t>
      </w:r>
      <w:r w:rsidRPr="009A21E4">
        <w:rPr>
          <w:rFonts w:eastAsiaTheme="minorHAnsi" w:cs="Arial"/>
          <w:vertAlign w:val="subscript"/>
          <w:lang w:eastAsia="en-US"/>
        </w:rPr>
        <w:t>S</w:t>
      </w:r>
      <w:r w:rsidRPr="009A21E4">
        <w:rPr>
          <w:rFonts w:eastAsiaTheme="minorHAnsi" w:cs="Arial"/>
          <w:lang w:eastAsia="en-US"/>
        </w:rPr>
        <w:t xml:space="preserve"> la concentration en bleu de méthylène de la solution S. Cette concentration est déterminée par une méthode spectrophotométrie.</w:t>
      </w:r>
    </w:p>
    <w:p w14:paraId="1DA86E85" w14:textId="77777777" w:rsidR="009A21E4" w:rsidRPr="009A21E4" w:rsidRDefault="009A21E4" w:rsidP="004278EB">
      <w:pPr>
        <w:spacing w:after="0" w:line="240" w:lineRule="auto"/>
        <w:ind w:left="0"/>
        <w:jc w:val="both"/>
        <w:rPr>
          <w:rFonts w:eastAsiaTheme="minorHAnsi" w:cs="Arial"/>
          <w:lang w:eastAsia="en-US"/>
        </w:rPr>
      </w:pPr>
      <w:r w:rsidRPr="009A21E4">
        <w:rPr>
          <w:rFonts w:eastAsiaTheme="minorHAnsi" w:cs="Arial"/>
          <w:lang w:eastAsia="en-US"/>
        </w:rPr>
        <w:t>On mesure l’évolution de l'absorbance A d'une solution de bleu de méthylène pour différentes longueurs d'onde λ.</w:t>
      </w:r>
    </w:p>
    <w:p w14:paraId="61A4B84F" w14:textId="6B6D1CCB" w:rsidR="009A21E4" w:rsidRPr="009A21E4" w:rsidRDefault="009A21E4" w:rsidP="009A21E4">
      <w:pPr>
        <w:spacing w:after="0" w:line="240" w:lineRule="auto"/>
        <w:ind w:left="0"/>
        <w:rPr>
          <w:rFonts w:eastAsiaTheme="minorHAnsi" w:cs="Arial"/>
          <w:lang w:eastAsia="en-US"/>
        </w:rPr>
      </w:pPr>
    </w:p>
    <w:p w14:paraId="073FA04B" w14:textId="53F67ED9" w:rsidR="009A21E4" w:rsidRPr="009A21E4" w:rsidRDefault="003D3231" w:rsidP="009A21E4">
      <w:pPr>
        <w:spacing w:after="0" w:line="240" w:lineRule="auto"/>
        <w:ind w:left="0"/>
        <w:jc w:val="both"/>
        <w:rPr>
          <w:rFonts w:eastAsiaTheme="minorHAnsi" w:cs="Arial"/>
          <w:b/>
          <w:noProof/>
          <w:lang w:eastAsia="en-US"/>
        </w:rPr>
      </w:pPr>
      <w:r w:rsidRPr="009A21E4">
        <w:rPr>
          <w:rFonts w:eastAsiaTheme="minorHAnsi"/>
          <w:noProof/>
        </w:rPr>
        <w:drawing>
          <wp:anchor distT="0" distB="0" distL="114300" distR="114300" simplePos="0" relativeHeight="251670528" behindDoc="0" locked="0" layoutInCell="1" allowOverlap="1" wp14:anchorId="6F4A3DA8" wp14:editId="1FC8B04C">
            <wp:simplePos x="0" y="0"/>
            <wp:positionH relativeFrom="column">
              <wp:posOffset>2179955</wp:posOffset>
            </wp:positionH>
            <wp:positionV relativeFrom="paragraph">
              <wp:posOffset>6350</wp:posOffset>
            </wp:positionV>
            <wp:extent cx="2413000" cy="1618615"/>
            <wp:effectExtent l="0" t="0" r="6350" b="63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13000" cy="1618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21E4" w:rsidRPr="009A21E4">
        <w:rPr>
          <w:rFonts w:eastAsia="Times New Roman" w:cs="Arial"/>
          <w:b/>
        </w:rPr>
        <w:t>Données</w:t>
      </w:r>
      <w:r w:rsidR="009A21E4" w:rsidRPr="009A21E4">
        <w:rPr>
          <w:rFonts w:eastAsiaTheme="minorHAnsi" w:cs="Arial"/>
          <w:b/>
          <w:noProof/>
          <w:lang w:eastAsia="en-US"/>
        </w:rPr>
        <w:t xml:space="preserve"> : </w:t>
      </w:r>
    </w:p>
    <w:p w14:paraId="2EF51ECF" w14:textId="75EFF42D" w:rsidR="009A21E4" w:rsidRPr="009A21E4" w:rsidRDefault="009A21E4" w:rsidP="009A21E4">
      <w:pPr>
        <w:numPr>
          <w:ilvl w:val="0"/>
          <w:numId w:val="3"/>
        </w:numPr>
        <w:spacing w:after="0" w:line="240" w:lineRule="auto"/>
        <w:contextualSpacing/>
        <w:jc w:val="both"/>
        <w:rPr>
          <w:rFonts w:eastAsia="Times New Roman" w:cs="Arial"/>
        </w:rPr>
      </w:pPr>
      <w:r w:rsidRPr="009A21E4">
        <w:rPr>
          <w:rFonts w:eastAsia="Times New Roman" w:cs="Arial"/>
        </w:rPr>
        <w:t>Cercle chromatique</w:t>
      </w:r>
    </w:p>
    <w:p w14:paraId="0CABC292" w14:textId="77777777" w:rsidR="009A21E4" w:rsidRPr="009A21E4" w:rsidRDefault="009A21E4" w:rsidP="009A21E4">
      <w:pPr>
        <w:spacing w:after="0" w:line="240" w:lineRule="auto"/>
        <w:ind w:left="0"/>
        <w:rPr>
          <w:rFonts w:eastAsiaTheme="minorHAnsi" w:cs="Arial"/>
          <w:lang w:eastAsia="en-US"/>
        </w:rPr>
      </w:pPr>
    </w:p>
    <w:p w14:paraId="34540693" w14:textId="77777777" w:rsidR="009A21E4" w:rsidRPr="009A21E4" w:rsidRDefault="009A21E4" w:rsidP="009A21E4">
      <w:pPr>
        <w:spacing w:after="0" w:line="240" w:lineRule="auto"/>
        <w:ind w:left="0"/>
        <w:rPr>
          <w:rFonts w:eastAsiaTheme="minorHAnsi" w:cs="Arial"/>
          <w:lang w:eastAsia="en-US"/>
        </w:rPr>
      </w:pPr>
    </w:p>
    <w:p w14:paraId="168CFD56" w14:textId="77777777" w:rsidR="009A21E4" w:rsidRPr="009A21E4" w:rsidRDefault="009A21E4" w:rsidP="009A21E4">
      <w:pPr>
        <w:spacing w:after="0" w:line="240" w:lineRule="auto"/>
        <w:ind w:left="0"/>
        <w:rPr>
          <w:rFonts w:eastAsiaTheme="minorHAnsi" w:cs="Arial"/>
          <w:lang w:eastAsia="en-US"/>
        </w:rPr>
      </w:pPr>
    </w:p>
    <w:p w14:paraId="39DF8E1B" w14:textId="77777777" w:rsidR="009A21E4" w:rsidRPr="009A21E4" w:rsidRDefault="009A21E4" w:rsidP="009A21E4">
      <w:pPr>
        <w:spacing w:after="0" w:line="240" w:lineRule="auto"/>
        <w:ind w:left="0"/>
        <w:jc w:val="both"/>
        <w:rPr>
          <w:rFonts w:eastAsiaTheme="minorHAnsi" w:cs="Arial"/>
          <w:lang w:eastAsia="en-US"/>
        </w:rPr>
      </w:pPr>
    </w:p>
    <w:p w14:paraId="505B6EAF" w14:textId="77777777" w:rsidR="009A21E4" w:rsidRPr="009A21E4" w:rsidRDefault="009A21E4" w:rsidP="009A21E4">
      <w:pPr>
        <w:spacing w:after="200" w:line="276" w:lineRule="auto"/>
        <w:ind w:left="0"/>
        <w:rPr>
          <w:rFonts w:eastAsiaTheme="minorHAnsi" w:cs="Arial"/>
          <w:lang w:eastAsia="en-US"/>
        </w:rPr>
      </w:pPr>
    </w:p>
    <w:p w14:paraId="7136A11F" w14:textId="77777777" w:rsidR="009A21E4" w:rsidRDefault="009A21E4" w:rsidP="009A21E4">
      <w:pPr>
        <w:spacing w:after="200" w:line="276" w:lineRule="auto"/>
        <w:ind w:left="0"/>
        <w:rPr>
          <w:rFonts w:eastAsiaTheme="minorHAnsi" w:cs="Arial"/>
          <w:lang w:eastAsia="en-US"/>
        </w:rPr>
      </w:pPr>
    </w:p>
    <w:p w14:paraId="57D022C3" w14:textId="77777777" w:rsidR="009A21E4" w:rsidRPr="009A21E4" w:rsidRDefault="009A21E4" w:rsidP="009A21E4">
      <w:pPr>
        <w:numPr>
          <w:ilvl w:val="0"/>
          <w:numId w:val="3"/>
        </w:numPr>
        <w:spacing w:after="200" w:line="276" w:lineRule="auto"/>
        <w:contextualSpacing/>
        <w:rPr>
          <w:rFonts w:eastAsiaTheme="minorHAnsi" w:cs="Arial"/>
          <w:lang w:eastAsia="en-US"/>
        </w:rPr>
      </w:pPr>
      <w:r w:rsidRPr="009A21E4">
        <w:rPr>
          <w:rFonts w:eastAsiaTheme="minorHAnsi" w:cs="Arial"/>
          <w:lang w:eastAsia="en-US"/>
        </w:rPr>
        <w:t>Extrait du tableau périodique des éléments</w:t>
      </w:r>
    </w:p>
    <w:p w14:paraId="3496FEBE" w14:textId="23E83323" w:rsidR="009A21E4" w:rsidRPr="009A21E4" w:rsidRDefault="00E32EB3" w:rsidP="009A21E4">
      <w:pPr>
        <w:spacing w:after="200" w:line="276" w:lineRule="auto"/>
        <w:ind w:left="720"/>
        <w:contextualSpacing/>
        <w:jc w:val="center"/>
        <w:rPr>
          <w:rFonts w:eastAsiaTheme="minorHAnsi" w:cs="Arial"/>
          <w:lang w:eastAsia="en-US"/>
        </w:rPr>
      </w:pPr>
      <w:r w:rsidRPr="009A21E4">
        <w:rPr>
          <w:rFonts w:eastAsiaTheme="minorHAnsi" w:cs="Arial"/>
          <w:noProof/>
        </w:rPr>
        <w:drawing>
          <wp:anchor distT="0" distB="0" distL="114300" distR="114300" simplePos="0" relativeHeight="251672576" behindDoc="0" locked="0" layoutInCell="1" allowOverlap="1" wp14:anchorId="567387DA" wp14:editId="03BF9E5C">
            <wp:simplePos x="0" y="0"/>
            <wp:positionH relativeFrom="margin">
              <wp:align>left</wp:align>
            </wp:positionH>
            <wp:positionV relativeFrom="paragraph">
              <wp:posOffset>12065</wp:posOffset>
            </wp:positionV>
            <wp:extent cx="6494404" cy="1552575"/>
            <wp:effectExtent l="0" t="0" r="1905" b="0"/>
            <wp:wrapNone/>
            <wp:docPr id="9" name="Image 9" descr="C:\Users\mmauhour\IGEN\CSP\Epreuves contrôle continu\EXtrait-Tableau_périodique_des_élé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uhour\IGEN\CSP\Epreuves contrôle continu\EXtrait-Tableau_périodique_des_éléments.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07067" cy="15556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F6BF82" w14:textId="37E33EAD" w:rsidR="00E32EB3" w:rsidRPr="00E32EB3" w:rsidRDefault="00E32EB3" w:rsidP="00E32EB3">
      <w:pPr>
        <w:spacing w:after="0" w:line="240" w:lineRule="auto"/>
        <w:ind w:left="360"/>
        <w:contextualSpacing/>
        <w:jc w:val="both"/>
        <w:rPr>
          <w:rFonts w:eastAsiaTheme="minorHAnsi" w:cs="Arial"/>
          <w:b/>
          <w:lang w:eastAsia="en-US"/>
        </w:rPr>
      </w:pPr>
    </w:p>
    <w:p w14:paraId="1098C7F5" w14:textId="6122FCCD" w:rsidR="00E32EB3" w:rsidRDefault="00E32EB3" w:rsidP="00E32EB3">
      <w:pPr>
        <w:spacing w:after="0" w:line="240" w:lineRule="auto"/>
        <w:ind w:left="360"/>
        <w:contextualSpacing/>
        <w:jc w:val="both"/>
        <w:rPr>
          <w:rFonts w:eastAsiaTheme="minorHAnsi" w:cs="Arial"/>
          <w:b/>
          <w:lang w:eastAsia="en-US"/>
        </w:rPr>
      </w:pPr>
    </w:p>
    <w:p w14:paraId="16492090" w14:textId="0E72F0DC" w:rsidR="00E32EB3" w:rsidRDefault="00E32EB3" w:rsidP="00E32EB3">
      <w:pPr>
        <w:spacing w:after="0" w:line="240" w:lineRule="auto"/>
        <w:ind w:left="360"/>
        <w:contextualSpacing/>
        <w:jc w:val="both"/>
        <w:rPr>
          <w:rFonts w:eastAsiaTheme="minorHAnsi" w:cs="Arial"/>
          <w:b/>
          <w:lang w:eastAsia="en-US"/>
        </w:rPr>
      </w:pPr>
    </w:p>
    <w:p w14:paraId="6A8ED267" w14:textId="042AB940" w:rsidR="00E32EB3" w:rsidRDefault="00E32EB3" w:rsidP="00E32EB3">
      <w:pPr>
        <w:spacing w:after="0" w:line="240" w:lineRule="auto"/>
        <w:ind w:left="360"/>
        <w:contextualSpacing/>
        <w:jc w:val="both"/>
        <w:rPr>
          <w:rFonts w:eastAsiaTheme="minorHAnsi" w:cs="Arial"/>
          <w:b/>
          <w:lang w:eastAsia="en-US"/>
        </w:rPr>
      </w:pPr>
    </w:p>
    <w:p w14:paraId="76117B14" w14:textId="17AB9C43" w:rsidR="00E32EB3" w:rsidRDefault="00E32EB3" w:rsidP="00E32EB3">
      <w:pPr>
        <w:spacing w:after="0" w:line="240" w:lineRule="auto"/>
        <w:ind w:left="360"/>
        <w:contextualSpacing/>
        <w:jc w:val="both"/>
        <w:rPr>
          <w:rFonts w:eastAsiaTheme="minorHAnsi" w:cs="Arial"/>
          <w:b/>
          <w:lang w:eastAsia="en-US"/>
        </w:rPr>
      </w:pPr>
    </w:p>
    <w:p w14:paraId="2D9682B1" w14:textId="77777777" w:rsidR="00E32EB3" w:rsidRPr="00E32EB3" w:rsidRDefault="00E32EB3" w:rsidP="00E32EB3">
      <w:pPr>
        <w:spacing w:after="0" w:line="240" w:lineRule="auto"/>
        <w:ind w:left="360"/>
        <w:contextualSpacing/>
        <w:jc w:val="both"/>
        <w:rPr>
          <w:rFonts w:eastAsiaTheme="minorHAnsi" w:cs="Arial"/>
          <w:b/>
          <w:lang w:eastAsia="en-US"/>
        </w:rPr>
      </w:pPr>
    </w:p>
    <w:p w14:paraId="1DD63F8C" w14:textId="77777777" w:rsidR="00E32EB3" w:rsidRPr="00E32EB3" w:rsidRDefault="00E32EB3" w:rsidP="00E32EB3">
      <w:pPr>
        <w:spacing w:after="0" w:line="240" w:lineRule="auto"/>
        <w:ind w:left="360"/>
        <w:contextualSpacing/>
        <w:jc w:val="both"/>
        <w:rPr>
          <w:rFonts w:eastAsiaTheme="minorHAnsi" w:cs="Arial"/>
          <w:b/>
          <w:lang w:eastAsia="en-US"/>
        </w:rPr>
      </w:pPr>
    </w:p>
    <w:p w14:paraId="13AD41D8" w14:textId="77777777" w:rsidR="00E32EB3" w:rsidRPr="00E32EB3" w:rsidRDefault="00E32EB3" w:rsidP="00E32EB3">
      <w:pPr>
        <w:spacing w:after="0" w:line="240" w:lineRule="auto"/>
        <w:ind w:left="360"/>
        <w:contextualSpacing/>
        <w:jc w:val="both"/>
        <w:rPr>
          <w:rFonts w:eastAsiaTheme="minorHAnsi" w:cs="Arial"/>
          <w:b/>
          <w:lang w:eastAsia="en-US"/>
        </w:rPr>
      </w:pPr>
    </w:p>
    <w:p w14:paraId="081AF492" w14:textId="77777777" w:rsidR="00E32EB3" w:rsidRPr="00E32EB3" w:rsidRDefault="00E32EB3" w:rsidP="00E32EB3">
      <w:pPr>
        <w:spacing w:after="0" w:line="240" w:lineRule="auto"/>
        <w:ind w:left="360"/>
        <w:contextualSpacing/>
        <w:jc w:val="both"/>
        <w:rPr>
          <w:rFonts w:eastAsiaTheme="minorHAnsi" w:cs="Arial"/>
          <w:b/>
          <w:lang w:eastAsia="en-US"/>
        </w:rPr>
      </w:pPr>
    </w:p>
    <w:p w14:paraId="67327A6B" w14:textId="77777777" w:rsidR="00E32EB3" w:rsidRPr="00E32EB3" w:rsidRDefault="00E32EB3" w:rsidP="00E32EB3">
      <w:pPr>
        <w:spacing w:after="0" w:line="240" w:lineRule="auto"/>
        <w:ind w:left="360"/>
        <w:contextualSpacing/>
        <w:jc w:val="both"/>
        <w:rPr>
          <w:rFonts w:eastAsiaTheme="minorHAnsi" w:cs="Arial"/>
          <w:b/>
          <w:lang w:eastAsia="en-US"/>
        </w:rPr>
      </w:pPr>
    </w:p>
    <w:p w14:paraId="1FB78AA1" w14:textId="0D25336C" w:rsidR="009A21E4" w:rsidRPr="009A21E4" w:rsidRDefault="009A21E4" w:rsidP="009A21E4">
      <w:pPr>
        <w:numPr>
          <w:ilvl w:val="0"/>
          <w:numId w:val="3"/>
        </w:numPr>
        <w:spacing w:after="0" w:line="240" w:lineRule="auto"/>
        <w:contextualSpacing/>
        <w:jc w:val="both"/>
        <w:rPr>
          <w:rFonts w:eastAsiaTheme="minorHAnsi" w:cs="Arial"/>
          <w:b/>
          <w:lang w:eastAsia="en-US"/>
        </w:rPr>
      </w:pPr>
      <w:r w:rsidRPr="009A21E4">
        <w:rPr>
          <w:rFonts w:eastAsiaTheme="minorHAnsi" w:cs="Arial"/>
          <w:lang w:eastAsia="en-US"/>
        </w:rPr>
        <w:t xml:space="preserve">Spectre d’absorbance du bleu de méthylène </w:t>
      </w:r>
    </w:p>
    <w:p w14:paraId="5F4E0087" w14:textId="77777777" w:rsidR="009A21E4" w:rsidRPr="009A21E4" w:rsidRDefault="009A21E4" w:rsidP="009A21E4">
      <w:pPr>
        <w:spacing w:after="0" w:line="240" w:lineRule="auto"/>
        <w:ind w:left="0"/>
        <w:jc w:val="both"/>
        <w:rPr>
          <w:rFonts w:eastAsiaTheme="minorHAnsi" w:cs="Arial"/>
          <w:b/>
          <w:lang w:eastAsia="en-US"/>
        </w:rPr>
      </w:pPr>
      <w:r w:rsidRPr="009A21E4">
        <w:rPr>
          <w:rFonts w:eastAsiaTheme="minorHAnsi" w:cs="Arial"/>
          <w:noProof/>
        </w:rPr>
        <w:drawing>
          <wp:anchor distT="0" distB="0" distL="114300" distR="114300" simplePos="0" relativeHeight="251671552" behindDoc="0" locked="0" layoutInCell="1" allowOverlap="1" wp14:anchorId="2341FD96" wp14:editId="35AA2E1F">
            <wp:simplePos x="0" y="0"/>
            <wp:positionH relativeFrom="margin">
              <wp:posOffset>1387438</wp:posOffset>
            </wp:positionH>
            <wp:positionV relativeFrom="paragraph">
              <wp:posOffset>85127</wp:posOffset>
            </wp:positionV>
            <wp:extent cx="3343835" cy="2205836"/>
            <wp:effectExtent l="0" t="0" r="0" b="4445"/>
            <wp:wrapNone/>
            <wp:docPr id="10" name="Image 10" descr="C:\Users\catherine ozier\Desktop\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therine ozier\Desktop\22.jpg"/>
                    <pic:cNvPicPr>
                      <a:picLocks noChangeAspect="1" noChangeArrowheads="1"/>
                    </pic:cNvPicPr>
                  </pic:nvPicPr>
                  <pic:blipFill>
                    <a:blip r:embed="rId17" cstate="print">
                      <a:extLst>
                        <a:ext uri="{BEBA8EAE-BF5A-486C-A8C5-ECC9F3942E4B}">
                          <a14:imgProps xmlns:a14="http://schemas.microsoft.com/office/drawing/2010/main">
                            <a14:imgLayer r:embed="rId18">
                              <a14:imgEffect>
                                <a14:brightnessContrast contrast="53000"/>
                              </a14:imgEffect>
                            </a14:imgLayer>
                          </a14:imgProps>
                        </a:ext>
                        <a:ext uri="{28A0092B-C50C-407E-A947-70E740481C1C}">
                          <a14:useLocalDpi xmlns:a14="http://schemas.microsoft.com/office/drawing/2010/main" val="0"/>
                        </a:ext>
                      </a:extLst>
                    </a:blip>
                    <a:srcRect/>
                    <a:stretch>
                      <a:fillRect/>
                    </a:stretch>
                  </pic:blipFill>
                  <pic:spPr bwMode="auto">
                    <a:xfrm>
                      <a:off x="0" y="0"/>
                      <a:ext cx="3343835" cy="2205836"/>
                    </a:xfrm>
                    <a:prstGeom prst="rect">
                      <a:avLst/>
                    </a:prstGeom>
                    <a:noFill/>
                    <a:ln>
                      <a:noFill/>
                    </a:ln>
                  </pic:spPr>
                </pic:pic>
              </a:graphicData>
            </a:graphic>
          </wp:anchor>
        </w:drawing>
      </w:r>
    </w:p>
    <w:p w14:paraId="4E77242B" w14:textId="77777777" w:rsidR="009A21E4" w:rsidRPr="009A21E4" w:rsidRDefault="009A21E4" w:rsidP="009A21E4">
      <w:pPr>
        <w:spacing w:after="0" w:line="240" w:lineRule="auto"/>
        <w:ind w:left="0"/>
        <w:jc w:val="both"/>
        <w:rPr>
          <w:rFonts w:eastAsiaTheme="minorHAnsi" w:cs="Arial"/>
          <w:lang w:eastAsia="en-US"/>
        </w:rPr>
      </w:pPr>
    </w:p>
    <w:p w14:paraId="4BB35964" w14:textId="77777777" w:rsidR="009A21E4" w:rsidRPr="009A21E4" w:rsidRDefault="009A21E4" w:rsidP="009A21E4">
      <w:pPr>
        <w:spacing w:after="0" w:line="240" w:lineRule="auto"/>
        <w:ind w:left="0"/>
        <w:jc w:val="both"/>
        <w:rPr>
          <w:rFonts w:eastAsiaTheme="minorHAnsi" w:cs="Arial"/>
          <w:lang w:eastAsia="en-US"/>
        </w:rPr>
      </w:pPr>
    </w:p>
    <w:p w14:paraId="3A792E04" w14:textId="77777777" w:rsidR="009A21E4" w:rsidRPr="009A21E4" w:rsidRDefault="009A21E4" w:rsidP="009A21E4">
      <w:pPr>
        <w:spacing w:after="0" w:line="240" w:lineRule="auto"/>
        <w:ind w:left="0"/>
        <w:jc w:val="both"/>
        <w:rPr>
          <w:rFonts w:eastAsiaTheme="minorHAnsi" w:cs="Arial"/>
          <w:lang w:eastAsia="en-US"/>
        </w:rPr>
      </w:pPr>
    </w:p>
    <w:p w14:paraId="55E71D61" w14:textId="77777777" w:rsidR="009A21E4" w:rsidRPr="009A21E4" w:rsidRDefault="009A21E4" w:rsidP="009A21E4">
      <w:pPr>
        <w:spacing w:after="0" w:line="240" w:lineRule="auto"/>
        <w:ind w:left="0"/>
        <w:jc w:val="both"/>
        <w:rPr>
          <w:rFonts w:eastAsiaTheme="minorHAnsi" w:cs="Arial"/>
          <w:lang w:eastAsia="en-US"/>
        </w:rPr>
      </w:pPr>
    </w:p>
    <w:p w14:paraId="1E5EE87C" w14:textId="77777777" w:rsidR="009A21E4" w:rsidRPr="009A21E4" w:rsidRDefault="009A21E4" w:rsidP="009A21E4">
      <w:pPr>
        <w:spacing w:after="200" w:line="276" w:lineRule="auto"/>
        <w:ind w:left="0"/>
        <w:rPr>
          <w:rFonts w:eastAsiaTheme="minorHAnsi" w:cs="Arial"/>
          <w:b/>
          <w:bCs/>
          <w:lang w:eastAsia="en-US"/>
        </w:rPr>
      </w:pPr>
    </w:p>
    <w:p w14:paraId="3A099325" w14:textId="77777777" w:rsidR="009A21E4" w:rsidRPr="009A21E4" w:rsidRDefault="009A21E4" w:rsidP="009A21E4">
      <w:pPr>
        <w:spacing w:after="200" w:line="276" w:lineRule="auto"/>
        <w:ind w:left="0"/>
        <w:rPr>
          <w:rFonts w:eastAsiaTheme="minorHAnsi" w:cs="Arial"/>
          <w:b/>
          <w:bCs/>
          <w:lang w:eastAsia="en-US"/>
        </w:rPr>
      </w:pPr>
    </w:p>
    <w:p w14:paraId="1C5ED1D4" w14:textId="77777777" w:rsidR="009A21E4" w:rsidRPr="009A21E4" w:rsidRDefault="009A21E4" w:rsidP="009A21E4">
      <w:pPr>
        <w:spacing w:after="200" w:line="276" w:lineRule="auto"/>
        <w:ind w:left="0"/>
        <w:rPr>
          <w:rFonts w:eastAsiaTheme="minorHAnsi" w:cs="Arial"/>
          <w:b/>
          <w:bCs/>
          <w:lang w:eastAsia="en-US"/>
        </w:rPr>
      </w:pPr>
    </w:p>
    <w:p w14:paraId="7CA46E41" w14:textId="77777777" w:rsidR="009A21E4" w:rsidRPr="009A21E4" w:rsidRDefault="009A21E4" w:rsidP="009A21E4">
      <w:pPr>
        <w:spacing w:after="0" w:line="276" w:lineRule="auto"/>
        <w:ind w:left="0"/>
        <w:jc w:val="both"/>
        <w:rPr>
          <w:rFonts w:eastAsiaTheme="minorHAnsi" w:cs="Arial"/>
          <w:b/>
          <w:bCs/>
          <w:lang w:eastAsia="en-US"/>
        </w:rPr>
      </w:pPr>
    </w:p>
    <w:p w14:paraId="4B26B550" w14:textId="77777777" w:rsidR="009A21E4" w:rsidRPr="009A21E4" w:rsidRDefault="009A21E4" w:rsidP="009A21E4">
      <w:pPr>
        <w:spacing w:after="0" w:line="276" w:lineRule="auto"/>
        <w:ind w:left="0"/>
        <w:jc w:val="both"/>
        <w:rPr>
          <w:rFonts w:eastAsiaTheme="minorHAnsi" w:cs="Arial"/>
          <w:b/>
          <w:bCs/>
          <w:lang w:eastAsia="en-US"/>
        </w:rPr>
      </w:pPr>
    </w:p>
    <w:p w14:paraId="772F4C78" w14:textId="77777777" w:rsidR="003D3231" w:rsidRDefault="003D3231">
      <w:pPr>
        <w:spacing w:after="0" w:line="240" w:lineRule="auto"/>
        <w:ind w:left="0"/>
        <w:rPr>
          <w:rFonts w:eastAsiaTheme="minorHAnsi" w:cs="Arial"/>
          <w:b/>
          <w:bCs/>
          <w:lang w:eastAsia="en-US"/>
        </w:rPr>
      </w:pPr>
      <w:r>
        <w:rPr>
          <w:rFonts w:eastAsiaTheme="minorHAnsi" w:cs="Arial"/>
          <w:b/>
          <w:bCs/>
          <w:lang w:eastAsia="en-US"/>
        </w:rPr>
        <w:br w:type="page"/>
      </w:r>
    </w:p>
    <w:p w14:paraId="2706A816" w14:textId="7120176B" w:rsidR="009A21E4" w:rsidRPr="009A21E4" w:rsidRDefault="009A21E4" w:rsidP="009A21E4">
      <w:pPr>
        <w:spacing w:after="0" w:line="276" w:lineRule="auto"/>
        <w:ind w:left="0"/>
        <w:jc w:val="both"/>
        <w:rPr>
          <w:rFonts w:eastAsiaTheme="minorHAnsi" w:cs="Arial"/>
          <w:lang w:eastAsia="en-US"/>
        </w:rPr>
      </w:pPr>
      <w:r w:rsidRPr="009A21E4">
        <w:rPr>
          <w:rFonts w:eastAsiaTheme="minorHAnsi" w:cs="Arial"/>
          <w:b/>
          <w:bCs/>
          <w:lang w:eastAsia="en-US"/>
        </w:rPr>
        <w:lastRenderedPageBreak/>
        <w:t xml:space="preserve">2.1. </w:t>
      </w:r>
      <w:r w:rsidRPr="009A21E4">
        <w:rPr>
          <w:rFonts w:eastAsiaTheme="minorHAnsi" w:cs="Arial"/>
          <w:lang w:eastAsia="en-US"/>
        </w:rPr>
        <w:t>Commenter l’allure spectre d’absorption du bleu de méthylène et justifier la couleur de la solution de ce colorant.</w:t>
      </w:r>
    </w:p>
    <w:p w14:paraId="456B2EA8" w14:textId="77777777" w:rsidR="009A21E4" w:rsidRPr="009A21E4" w:rsidRDefault="009A21E4" w:rsidP="009A21E4">
      <w:pPr>
        <w:spacing w:after="0" w:line="240" w:lineRule="auto"/>
        <w:ind w:left="0"/>
        <w:jc w:val="both"/>
        <w:rPr>
          <w:rFonts w:eastAsiaTheme="minorHAnsi" w:cs="Arial"/>
          <w:lang w:eastAsia="en-US"/>
        </w:rPr>
      </w:pPr>
    </w:p>
    <w:p w14:paraId="3BE9B4A1" w14:textId="77777777" w:rsidR="009A21E4" w:rsidRPr="009A21E4" w:rsidRDefault="009A21E4" w:rsidP="009A21E4">
      <w:pPr>
        <w:spacing w:after="0" w:line="240" w:lineRule="auto"/>
        <w:ind w:left="0"/>
        <w:jc w:val="both"/>
        <w:rPr>
          <w:rFonts w:eastAsiaTheme="minorHAnsi" w:cs="Arial"/>
          <w:lang w:eastAsia="en-US"/>
        </w:rPr>
      </w:pPr>
      <w:r w:rsidRPr="009A21E4">
        <w:rPr>
          <w:rFonts w:eastAsiaTheme="minorHAnsi" w:cs="Arial"/>
          <w:lang w:eastAsia="en-US"/>
        </w:rPr>
        <w:t xml:space="preserve">Pour déterminer la concentration </w:t>
      </w:r>
      <w:r w:rsidRPr="009A21E4">
        <w:rPr>
          <w:rFonts w:eastAsiaTheme="minorHAnsi" w:cs="Arial"/>
          <w:i/>
          <w:iCs/>
          <w:lang w:eastAsia="en-US"/>
        </w:rPr>
        <w:t>C</w:t>
      </w:r>
      <w:r w:rsidRPr="009A21E4">
        <w:rPr>
          <w:rFonts w:eastAsiaTheme="minorHAnsi" w:cs="Arial"/>
          <w:vertAlign w:val="subscript"/>
          <w:lang w:eastAsia="en-US"/>
        </w:rPr>
        <w:t>S</w:t>
      </w:r>
      <w:r w:rsidRPr="009A21E4">
        <w:rPr>
          <w:rFonts w:eastAsiaTheme="minorHAnsi" w:cs="Arial"/>
          <w:lang w:eastAsia="en-US"/>
        </w:rPr>
        <w:t xml:space="preserve"> en bleu de méthylène de la solution S, on prépare une gamme de solutions notées S</w:t>
      </w:r>
      <w:r w:rsidRPr="009A21E4">
        <w:rPr>
          <w:rFonts w:eastAsiaTheme="minorHAnsi" w:cs="Arial"/>
          <w:vertAlign w:val="subscript"/>
          <w:lang w:eastAsia="en-US"/>
        </w:rPr>
        <w:t>1</w:t>
      </w:r>
      <w:r w:rsidRPr="009A21E4">
        <w:rPr>
          <w:rFonts w:eastAsiaTheme="minorHAnsi" w:cs="Arial"/>
          <w:lang w:eastAsia="en-US"/>
        </w:rPr>
        <w:t xml:space="preserve"> à S</w:t>
      </w:r>
      <w:r w:rsidRPr="009A21E4">
        <w:rPr>
          <w:rFonts w:eastAsiaTheme="minorHAnsi" w:cs="Arial"/>
          <w:vertAlign w:val="subscript"/>
          <w:lang w:eastAsia="en-US"/>
        </w:rPr>
        <w:t>4</w:t>
      </w:r>
      <w:r w:rsidRPr="009A21E4">
        <w:rPr>
          <w:rFonts w:eastAsiaTheme="minorHAnsi" w:cs="Arial"/>
          <w:lang w:eastAsia="en-US"/>
        </w:rPr>
        <w:t>, de volume 25,0 mL chacune, à partir d’une solution mère de concentration en masse égale à 5,0 mg.L</w:t>
      </w:r>
      <w:r w:rsidRPr="009A21E4">
        <w:rPr>
          <w:rFonts w:eastAsiaTheme="minorHAnsi" w:cs="Arial"/>
          <w:vertAlign w:val="superscript"/>
          <w:lang w:eastAsia="en-US"/>
        </w:rPr>
        <w:t>-1</w:t>
      </w:r>
      <w:r w:rsidRPr="009A21E4">
        <w:rPr>
          <w:rFonts w:eastAsiaTheme="minorHAnsi" w:cs="Arial"/>
          <w:lang w:eastAsia="en-US"/>
        </w:rPr>
        <w:t>.</w:t>
      </w:r>
    </w:p>
    <w:p w14:paraId="0FC356EA" w14:textId="77777777" w:rsidR="009A21E4" w:rsidRPr="009A21E4" w:rsidRDefault="009A21E4" w:rsidP="009A21E4">
      <w:pPr>
        <w:spacing w:after="0" w:line="240" w:lineRule="auto"/>
        <w:ind w:left="0"/>
        <w:jc w:val="both"/>
        <w:rPr>
          <w:rFonts w:eastAsiaTheme="minorHAnsi" w:cs="Arial"/>
          <w:lang w:eastAsia="en-US"/>
        </w:rPr>
      </w:pPr>
    </w:p>
    <w:p w14:paraId="53E9FAFD" w14:textId="77777777" w:rsidR="009A21E4" w:rsidRPr="009A21E4" w:rsidRDefault="009A21E4" w:rsidP="009A21E4">
      <w:pPr>
        <w:spacing w:after="0" w:line="240" w:lineRule="auto"/>
        <w:ind w:left="0"/>
        <w:jc w:val="both"/>
        <w:rPr>
          <w:rFonts w:eastAsiaTheme="minorHAnsi" w:cs="Arial"/>
          <w:lang w:eastAsia="en-US"/>
        </w:rPr>
      </w:pPr>
      <w:r w:rsidRPr="009A21E4">
        <w:rPr>
          <w:rFonts w:eastAsiaTheme="minorHAnsi" w:cs="Arial"/>
          <w:lang w:eastAsia="en-US"/>
        </w:rPr>
        <w:t xml:space="preserve">L’absorbance des solutions a été mesurée à l’aide d’un spectrophotomètre préalablement réglé sur la valeur </w:t>
      </w:r>
      <w:proofErr w:type="spellStart"/>
      <w:r w:rsidRPr="009A21E4">
        <w:rPr>
          <w:rFonts w:eastAsiaTheme="minorHAnsi" w:cs="Arial"/>
          <w:lang w:eastAsia="en-US"/>
        </w:rPr>
        <w:t>λ</w:t>
      </w:r>
      <w:r w:rsidRPr="009A21E4">
        <w:rPr>
          <w:rFonts w:eastAsiaTheme="minorHAnsi" w:cs="Arial"/>
          <w:vertAlign w:val="subscript"/>
          <w:lang w:eastAsia="en-US"/>
        </w:rPr>
        <w:t>max</w:t>
      </w:r>
      <w:proofErr w:type="spellEnd"/>
      <w:r w:rsidRPr="009A21E4">
        <w:rPr>
          <w:rFonts w:eastAsiaTheme="minorHAnsi" w:cs="Arial"/>
          <w:lang w:eastAsia="en-US"/>
        </w:rPr>
        <w:t xml:space="preserve"> du spectre d’absorption. Les résultats sont reproduits dans le tableau ci-dessous : </w:t>
      </w:r>
    </w:p>
    <w:p w14:paraId="524EADA7" w14:textId="77777777" w:rsidR="009A21E4" w:rsidRPr="009A21E4" w:rsidRDefault="009A21E4" w:rsidP="009A21E4">
      <w:pPr>
        <w:spacing w:after="0" w:line="276" w:lineRule="auto"/>
        <w:ind w:left="0"/>
        <w:rPr>
          <w:rFonts w:eastAsiaTheme="minorHAnsi" w:cs="Arial"/>
          <w:lang w:eastAsia="en-US"/>
        </w:rPr>
      </w:pP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9"/>
        <w:gridCol w:w="1161"/>
        <w:gridCol w:w="1161"/>
        <w:gridCol w:w="1162"/>
        <w:gridCol w:w="1162"/>
        <w:gridCol w:w="1162"/>
      </w:tblGrid>
      <w:tr w:rsidR="009A21E4" w:rsidRPr="009A21E4" w14:paraId="032130A1" w14:textId="77777777" w:rsidTr="00A62029">
        <w:trPr>
          <w:trHeight w:val="312"/>
        </w:trPr>
        <w:tc>
          <w:tcPr>
            <w:tcW w:w="3069" w:type="dxa"/>
            <w:vAlign w:val="center"/>
          </w:tcPr>
          <w:p w14:paraId="2F68AF2B" w14:textId="77777777" w:rsidR="009A21E4" w:rsidRPr="009A21E4" w:rsidRDefault="009A21E4" w:rsidP="009A21E4">
            <w:pPr>
              <w:spacing w:after="0" w:line="276" w:lineRule="auto"/>
              <w:ind w:left="0"/>
              <w:jc w:val="center"/>
              <w:rPr>
                <w:rFonts w:eastAsiaTheme="minorHAnsi" w:cs="Arial"/>
                <w:lang w:eastAsia="en-US"/>
              </w:rPr>
            </w:pPr>
            <w:r w:rsidRPr="009A21E4">
              <w:rPr>
                <w:rFonts w:eastAsiaTheme="minorHAnsi" w:cs="Arial"/>
                <w:lang w:eastAsia="en-US"/>
              </w:rPr>
              <w:t>Solution</w:t>
            </w:r>
          </w:p>
        </w:tc>
        <w:tc>
          <w:tcPr>
            <w:tcW w:w="1161" w:type="dxa"/>
            <w:vAlign w:val="center"/>
          </w:tcPr>
          <w:p w14:paraId="5E14D3BE" w14:textId="77777777" w:rsidR="009A21E4" w:rsidRPr="009A21E4" w:rsidRDefault="009A21E4" w:rsidP="009A21E4">
            <w:pPr>
              <w:spacing w:after="0" w:line="276" w:lineRule="auto"/>
              <w:ind w:left="0"/>
              <w:jc w:val="center"/>
              <w:rPr>
                <w:rFonts w:eastAsiaTheme="minorHAnsi" w:cs="Arial"/>
                <w:lang w:eastAsia="en-US"/>
              </w:rPr>
            </w:pPr>
            <w:r w:rsidRPr="009A21E4">
              <w:rPr>
                <w:rFonts w:eastAsiaTheme="minorHAnsi" w:cs="Arial"/>
                <w:lang w:eastAsia="en-US"/>
              </w:rPr>
              <w:t>S</w:t>
            </w:r>
            <w:r w:rsidRPr="009A21E4">
              <w:rPr>
                <w:rFonts w:eastAsiaTheme="minorHAnsi" w:cs="Arial"/>
                <w:vertAlign w:val="subscript"/>
                <w:lang w:eastAsia="en-US"/>
              </w:rPr>
              <w:t>0</w:t>
            </w:r>
          </w:p>
        </w:tc>
        <w:tc>
          <w:tcPr>
            <w:tcW w:w="1161" w:type="dxa"/>
            <w:vAlign w:val="center"/>
          </w:tcPr>
          <w:p w14:paraId="600C1908" w14:textId="77777777" w:rsidR="009A21E4" w:rsidRPr="009A21E4" w:rsidRDefault="009A21E4" w:rsidP="009A21E4">
            <w:pPr>
              <w:spacing w:after="0" w:line="276" w:lineRule="auto"/>
              <w:ind w:left="0"/>
              <w:jc w:val="center"/>
              <w:rPr>
                <w:rFonts w:eastAsiaTheme="minorHAnsi" w:cs="Arial"/>
                <w:lang w:eastAsia="en-US"/>
              </w:rPr>
            </w:pPr>
            <w:r w:rsidRPr="009A21E4">
              <w:rPr>
                <w:rFonts w:eastAsiaTheme="minorHAnsi" w:cs="Arial"/>
                <w:lang w:eastAsia="en-US"/>
              </w:rPr>
              <w:t>S</w:t>
            </w:r>
            <w:r w:rsidRPr="009A21E4">
              <w:rPr>
                <w:rFonts w:eastAsiaTheme="minorHAnsi" w:cs="Arial"/>
                <w:vertAlign w:val="subscript"/>
                <w:lang w:eastAsia="en-US"/>
              </w:rPr>
              <w:t>1</w:t>
            </w:r>
          </w:p>
        </w:tc>
        <w:tc>
          <w:tcPr>
            <w:tcW w:w="1162" w:type="dxa"/>
            <w:vAlign w:val="center"/>
          </w:tcPr>
          <w:p w14:paraId="4B292F28" w14:textId="77777777" w:rsidR="009A21E4" w:rsidRPr="009A21E4" w:rsidRDefault="009A21E4" w:rsidP="009A21E4">
            <w:pPr>
              <w:spacing w:after="0" w:line="276" w:lineRule="auto"/>
              <w:ind w:left="0"/>
              <w:jc w:val="center"/>
              <w:rPr>
                <w:rFonts w:eastAsiaTheme="minorHAnsi" w:cs="Arial"/>
                <w:lang w:eastAsia="en-US"/>
              </w:rPr>
            </w:pPr>
            <w:r w:rsidRPr="009A21E4">
              <w:rPr>
                <w:rFonts w:eastAsiaTheme="minorHAnsi" w:cs="Arial"/>
                <w:lang w:eastAsia="en-US"/>
              </w:rPr>
              <w:t>S</w:t>
            </w:r>
            <w:r w:rsidRPr="009A21E4">
              <w:rPr>
                <w:rFonts w:eastAsiaTheme="minorHAnsi" w:cs="Arial"/>
                <w:vertAlign w:val="subscript"/>
                <w:lang w:eastAsia="en-US"/>
              </w:rPr>
              <w:t>2</w:t>
            </w:r>
          </w:p>
        </w:tc>
        <w:tc>
          <w:tcPr>
            <w:tcW w:w="1162" w:type="dxa"/>
            <w:vAlign w:val="center"/>
          </w:tcPr>
          <w:p w14:paraId="0602F6EA" w14:textId="77777777" w:rsidR="009A21E4" w:rsidRPr="009A21E4" w:rsidRDefault="009A21E4" w:rsidP="009A21E4">
            <w:pPr>
              <w:spacing w:after="0" w:line="276" w:lineRule="auto"/>
              <w:ind w:left="0"/>
              <w:jc w:val="center"/>
              <w:rPr>
                <w:rFonts w:eastAsiaTheme="minorHAnsi" w:cs="Arial"/>
                <w:lang w:eastAsia="en-US"/>
              </w:rPr>
            </w:pPr>
            <w:r w:rsidRPr="009A21E4">
              <w:rPr>
                <w:rFonts w:eastAsiaTheme="minorHAnsi" w:cs="Arial"/>
                <w:lang w:eastAsia="en-US"/>
              </w:rPr>
              <w:t>S</w:t>
            </w:r>
            <w:r w:rsidRPr="009A21E4">
              <w:rPr>
                <w:rFonts w:eastAsiaTheme="minorHAnsi" w:cs="Arial"/>
                <w:vertAlign w:val="subscript"/>
                <w:lang w:eastAsia="en-US"/>
              </w:rPr>
              <w:t>3</w:t>
            </w:r>
          </w:p>
        </w:tc>
        <w:tc>
          <w:tcPr>
            <w:tcW w:w="1162" w:type="dxa"/>
            <w:vAlign w:val="center"/>
          </w:tcPr>
          <w:p w14:paraId="3AC71945" w14:textId="77777777" w:rsidR="009A21E4" w:rsidRPr="009A21E4" w:rsidRDefault="009A21E4" w:rsidP="009A21E4">
            <w:pPr>
              <w:spacing w:after="0" w:line="276" w:lineRule="auto"/>
              <w:ind w:left="0"/>
              <w:jc w:val="center"/>
              <w:rPr>
                <w:rFonts w:eastAsiaTheme="minorHAnsi" w:cs="Arial"/>
                <w:lang w:eastAsia="en-US"/>
              </w:rPr>
            </w:pPr>
            <w:r w:rsidRPr="009A21E4">
              <w:rPr>
                <w:rFonts w:eastAsiaTheme="minorHAnsi" w:cs="Arial"/>
                <w:lang w:eastAsia="en-US"/>
              </w:rPr>
              <w:t>S</w:t>
            </w:r>
            <w:r w:rsidRPr="009A21E4">
              <w:rPr>
                <w:rFonts w:eastAsiaTheme="minorHAnsi" w:cs="Arial"/>
                <w:vertAlign w:val="subscript"/>
                <w:lang w:eastAsia="en-US"/>
              </w:rPr>
              <w:t>4</w:t>
            </w:r>
          </w:p>
        </w:tc>
      </w:tr>
      <w:tr w:rsidR="009A21E4" w:rsidRPr="009A21E4" w14:paraId="29BBF18F" w14:textId="77777777" w:rsidTr="00A62029">
        <w:trPr>
          <w:trHeight w:val="310"/>
        </w:trPr>
        <w:tc>
          <w:tcPr>
            <w:tcW w:w="3069" w:type="dxa"/>
            <w:vAlign w:val="center"/>
          </w:tcPr>
          <w:p w14:paraId="2B534BAF" w14:textId="77777777" w:rsidR="009A21E4" w:rsidRPr="009A21E4" w:rsidRDefault="009A21E4" w:rsidP="009A21E4">
            <w:pPr>
              <w:spacing w:after="0" w:line="276" w:lineRule="auto"/>
              <w:ind w:left="0"/>
              <w:jc w:val="center"/>
              <w:rPr>
                <w:rFonts w:eastAsiaTheme="minorHAnsi" w:cs="Arial"/>
                <w:lang w:eastAsia="en-US"/>
              </w:rPr>
            </w:pPr>
            <w:r w:rsidRPr="009A21E4">
              <w:rPr>
                <w:rFonts w:eastAsiaTheme="minorHAnsi" w:cs="Arial"/>
                <w:lang w:eastAsia="en-US"/>
              </w:rPr>
              <w:t xml:space="preserve">Concentration en masse </w:t>
            </w:r>
            <w:r w:rsidRPr="00AB721C">
              <w:rPr>
                <w:rFonts w:eastAsiaTheme="minorHAnsi" w:cs="Arial"/>
                <w:i/>
                <w:iCs/>
                <w:lang w:eastAsia="en-US"/>
              </w:rPr>
              <w:t>C</w:t>
            </w:r>
            <w:r w:rsidRPr="009A21E4">
              <w:rPr>
                <w:rFonts w:eastAsiaTheme="minorHAnsi" w:cs="Arial"/>
                <w:vertAlign w:val="subscript"/>
                <w:lang w:eastAsia="en-US"/>
              </w:rPr>
              <w:t>i</w:t>
            </w:r>
            <w:r w:rsidRPr="009A21E4">
              <w:rPr>
                <w:rFonts w:eastAsiaTheme="minorHAnsi" w:cs="Arial"/>
                <w:lang w:eastAsia="en-US"/>
              </w:rPr>
              <w:t xml:space="preserve"> (en </w:t>
            </w:r>
            <w:proofErr w:type="gramStart"/>
            <w:r w:rsidRPr="009A21E4">
              <w:rPr>
                <w:rFonts w:eastAsiaTheme="minorHAnsi" w:cs="Arial"/>
                <w:lang w:eastAsia="en-US"/>
              </w:rPr>
              <w:t>mg.L</w:t>
            </w:r>
            <w:proofErr w:type="gramEnd"/>
            <w:r w:rsidRPr="009A21E4">
              <w:rPr>
                <w:rFonts w:eastAsiaTheme="minorHAnsi" w:cs="Arial"/>
                <w:vertAlign w:val="superscript"/>
                <w:lang w:eastAsia="en-US"/>
              </w:rPr>
              <w:t>-1</w:t>
            </w:r>
            <w:r w:rsidRPr="009A21E4">
              <w:rPr>
                <w:rFonts w:eastAsiaTheme="minorHAnsi" w:cs="Arial"/>
                <w:lang w:eastAsia="en-US"/>
              </w:rPr>
              <w:t>)</w:t>
            </w:r>
          </w:p>
        </w:tc>
        <w:tc>
          <w:tcPr>
            <w:tcW w:w="1161" w:type="dxa"/>
            <w:vAlign w:val="center"/>
          </w:tcPr>
          <w:p w14:paraId="358B3F16" w14:textId="77777777" w:rsidR="009A21E4" w:rsidRPr="009A21E4" w:rsidRDefault="009A21E4" w:rsidP="009A21E4">
            <w:pPr>
              <w:spacing w:after="0" w:line="276" w:lineRule="auto"/>
              <w:ind w:left="0"/>
              <w:jc w:val="center"/>
              <w:rPr>
                <w:rFonts w:eastAsiaTheme="minorHAnsi" w:cs="Arial"/>
                <w:lang w:eastAsia="en-US"/>
              </w:rPr>
            </w:pPr>
            <w:r w:rsidRPr="009A21E4">
              <w:rPr>
                <w:rFonts w:eastAsiaTheme="minorHAnsi" w:cs="Arial"/>
                <w:lang w:eastAsia="en-US"/>
              </w:rPr>
              <w:t>5,0</w:t>
            </w:r>
          </w:p>
        </w:tc>
        <w:tc>
          <w:tcPr>
            <w:tcW w:w="1161" w:type="dxa"/>
            <w:vAlign w:val="center"/>
          </w:tcPr>
          <w:p w14:paraId="39FFF68D" w14:textId="77777777" w:rsidR="009A21E4" w:rsidRPr="009A21E4" w:rsidRDefault="009A21E4" w:rsidP="009A21E4">
            <w:pPr>
              <w:spacing w:after="0" w:line="276" w:lineRule="auto"/>
              <w:ind w:left="0"/>
              <w:jc w:val="center"/>
              <w:rPr>
                <w:rFonts w:eastAsiaTheme="minorHAnsi" w:cs="Arial"/>
                <w:lang w:eastAsia="en-US"/>
              </w:rPr>
            </w:pPr>
            <w:r w:rsidRPr="009A21E4">
              <w:rPr>
                <w:rFonts w:eastAsiaTheme="minorHAnsi" w:cs="Arial"/>
                <w:lang w:eastAsia="en-US"/>
              </w:rPr>
              <w:t>4,0</w:t>
            </w:r>
          </w:p>
        </w:tc>
        <w:tc>
          <w:tcPr>
            <w:tcW w:w="1162" w:type="dxa"/>
            <w:vAlign w:val="center"/>
          </w:tcPr>
          <w:p w14:paraId="2BA2449C" w14:textId="77777777" w:rsidR="009A21E4" w:rsidRPr="009A21E4" w:rsidRDefault="009A21E4" w:rsidP="009A21E4">
            <w:pPr>
              <w:spacing w:after="0" w:line="276" w:lineRule="auto"/>
              <w:ind w:left="0"/>
              <w:jc w:val="center"/>
              <w:rPr>
                <w:rFonts w:eastAsiaTheme="minorHAnsi" w:cs="Arial"/>
                <w:lang w:eastAsia="en-US"/>
              </w:rPr>
            </w:pPr>
            <w:r w:rsidRPr="009A21E4">
              <w:rPr>
                <w:rFonts w:eastAsiaTheme="minorHAnsi" w:cs="Arial"/>
                <w:lang w:eastAsia="en-US"/>
              </w:rPr>
              <w:t>3,0</w:t>
            </w:r>
          </w:p>
        </w:tc>
        <w:tc>
          <w:tcPr>
            <w:tcW w:w="1162" w:type="dxa"/>
            <w:vAlign w:val="center"/>
          </w:tcPr>
          <w:p w14:paraId="0B2ECFCB" w14:textId="77777777" w:rsidR="009A21E4" w:rsidRPr="009A21E4" w:rsidRDefault="009A21E4" w:rsidP="009A21E4">
            <w:pPr>
              <w:spacing w:after="0" w:line="276" w:lineRule="auto"/>
              <w:ind w:left="0"/>
              <w:jc w:val="center"/>
              <w:rPr>
                <w:rFonts w:eastAsiaTheme="minorHAnsi" w:cs="Arial"/>
                <w:lang w:eastAsia="en-US"/>
              </w:rPr>
            </w:pPr>
            <w:r w:rsidRPr="009A21E4">
              <w:rPr>
                <w:rFonts w:eastAsiaTheme="minorHAnsi" w:cs="Arial"/>
                <w:lang w:eastAsia="en-US"/>
              </w:rPr>
              <w:t>2,0</w:t>
            </w:r>
          </w:p>
        </w:tc>
        <w:tc>
          <w:tcPr>
            <w:tcW w:w="1162" w:type="dxa"/>
            <w:vAlign w:val="center"/>
          </w:tcPr>
          <w:p w14:paraId="1DE65E4A" w14:textId="77777777" w:rsidR="009A21E4" w:rsidRPr="009A21E4" w:rsidRDefault="009A21E4" w:rsidP="009A21E4">
            <w:pPr>
              <w:spacing w:after="0" w:line="276" w:lineRule="auto"/>
              <w:ind w:left="0"/>
              <w:jc w:val="center"/>
              <w:rPr>
                <w:rFonts w:eastAsiaTheme="minorHAnsi" w:cs="Arial"/>
                <w:lang w:eastAsia="en-US"/>
              </w:rPr>
            </w:pPr>
            <w:r w:rsidRPr="009A21E4">
              <w:rPr>
                <w:rFonts w:eastAsiaTheme="minorHAnsi" w:cs="Arial"/>
                <w:lang w:eastAsia="en-US"/>
              </w:rPr>
              <w:t>1,0</w:t>
            </w:r>
          </w:p>
        </w:tc>
      </w:tr>
      <w:tr w:rsidR="009A21E4" w:rsidRPr="009A21E4" w14:paraId="608217B8" w14:textId="77777777" w:rsidTr="00A62029">
        <w:trPr>
          <w:trHeight w:val="310"/>
        </w:trPr>
        <w:tc>
          <w:tcPr>
            <w:tcW w:w="3069" w:type="dxa"/>
            <w:vAlign w:val="center"/>
          </w:tcPr>
          <w:p w14:paraId="2A2EC907" w14:textId="77777777" w:rsidR="009A21E4" w:rsidRPr="009A21E4" w:rsidRDefault="009A21E4" w:rsidP="009A21E4">
            <w:pPr>
              <w:spacing w:after="0" w:line="276" w:lineRule="auto"/>
              <w:ind w:left="0"/>
              <w:jc w:val="center"/>
              <w:rPr>
                <w:rFonts w:eastAsiaTheme="minorHAnsi" w:cs="Arial"/>
                <w:lang w:eastAsia="en-US"/>
              </w:rPr>
            </w:pPr>
            <w:r w:rsidRPr="009A21E4">
              <w:rPr>
                <w:rFonts w:eastAsiaTheme="minorHAnsi" w:cs="Arial"/>
                <w:lang w:eastAsia="en-US"/>
              </w:rPr>
              <w:t xml:space="preserve">Absorbance </w:t>
            </w:r>
            <w:r w:rsidRPr="00E32EB3">
              <w:rPr>
                <w:rFonts w:eastAsiaTheme="minorHAnsi" w:cs="Arial"/>
                <w:i/>
                <w:iCs/>
                <w:lang w:eastAsia="en-US"/>
              </w:rPr>
              <w:t>A</w:t>
            </w:r>
          </w:p>
        </w:tc>
        <w:tc>
          <w:tcPr>
            <w:tcW w:w="1161" w:type="dxa"/>
            <w:vAlign w:val="center"/>
          </w:tcPr>
          <w:p w14:paraId="5FE2CF5B" w14:textId="77777777" w:rsidR="009A21E4" w:rsidRPr="009A21E4" w:rsidRDefault="009A21E4" w:rsidP="009A21E4">
            <w:pPr>
              <w:spacing w:after="0" w:line="276" w:lineRule="auto"/>
              <w:ind w:left="0"/>
              <w:jc w:val="center"/>
              <w:rPr>
                <w:rFonts w:eastAsiaTheme="minorHAnsi" w:cs="Arial"/>
                <w:lang w:eastAsia="en-US"/>
              </w:rPr>
            </w:pPr>
            <w:r w:rsidRPr="009A21E4">
              <w:rPr>
                <w:rFonts w:eastAsiaTheme="minorHAnsi" w:cs="Arial"/>
                <w:lang w:eastAsia="en-US"/>
              </w:rPr>
              <w:t>0,610</w:t>
            </w:r>
          </w:p>
        </w:tc>
        <w:tc>
          <w:tcPr>
            <w:tcW w:w="1161" w:type="dxa"/>
            <w:vAlign w:val="center"/>
          </w:tcPr>
          <w:p w14:paraId="1B39D0A5" w14:textId="77777777" w:rsidR="009A21E4" w:rsidRPr="009A21E4" w:rsidRDefault="009A21E4" w:rsidP="009A21E4">
            <w:pPr>
              <w:spacing w:after="0" w:line="276" w:lineRule="auto"/>
              <w:ind w:left="0"/>
              <w:jc w:val="center"/>
              <w:rPr>
                <w:rFonts w:eastAsiaTheme="minorHAnsi" w:cs="Arial"/>
                <w:lang w:eastAsia="en-US"/>
              </w:rPr>
            </w:pPr>
            <w:r w:rsidRPr="009A21E4">
              <w:rPr>
                <w:rFonts w:eastAsiaTheme="minorHAnsi" w:cs="Arial"/>
                <w:lang w:eastAsia="en-US"/>
              </w:rPr>
              <w:t>0,480</w:t>
            </w:r>
          </w:p>
        </w:tc>
        <w:tc>
          <w:tcPr>
            <w:tcW w:w="1162" w:type="dxa"/>
            <w:vAlign w:val="center"/>
          </w:tcPr>
          <w:p w14:paraId="140603B7" w14:textId="77777777" w:rsidR="009A21E4" w:rsidRPr="009A21E4" w:rsidRDefault="009A21E4" w:rsidP="009A21E4">
            <w:pPr>
              <w:spacing w:after="0" w:line="276" w:lineRule="auto"/>
              <w:ind w:left="0"/>
              <w:jc w:val="center"/>
              <w:rPr>
                <w:rFonts w:eastAsiaTheme="minorHAnsi" w:cs="Arial"/>
                <w:lang w:eastAsia="en-US"/>
              </w:rPr>
            </w:pPr>
            <w:r w:rsidRPr="009A21E4">
              <w:rPr>
                <w:rFonts w:eastAsiaTheme="minorHAnsi" w:cs="Arial"/>
                <w:lang w:eastAsia="en-US"/>
              </w:rPr>
              <w:t>0,374</w:t>
            </w:r>
          </w:p>
        </w:tc>
        <w:tc>
          <w:tcPr>
            <w:tcW w:w="1162" w:type="dxa"/>
            <w:vAlign w:val="center"/>
          </w:tcPr>
          <w:p w14:paraId="45C938AE" w14:textId="77777777" w:rsidR="009A21E4" w:rsidRPr="009A21E4" w:rsidRDefault="009A21E4" w:rsidP="009A21E4">
            <w:pPr>
              <w:spacing w:after="0" w:line="276" w:lineRule="auto"/>
              <w:ind w:left="0"/>
              <w:jc w:val="center"/>
              <w:rPr>
                <w:rFonts w:eastAsiaTheme="minorHAnsi" w:cs="Arial"/>
                <w:lang w:eastAsia="en-US"/>
              </w:rPr>
            </w:pPr>
            <w:r w:rsidRPr="009A21E4">
              <w:rPr>
                <w:rFonts w:eastAsiaTheme="minorHAnsi" w:cs="Arial"/>
                <w:lang w:eastAsia="en-US"/>
              </w:rPr>
              <w:t>0,243</w:t>
            </w:r>
          </w:p>
        </w:tc>
        <w:tc>
          <w:tcPr>
            <w:tcW w:w="1162" w:type="dxa"/>
            <w:vAlign w:val="center"/>
          </w:tcPr>
          <w:p w14:paraId="539043B3" w14:textId="77777777" w:rsidR="009A21E4" w:rsidRPr="009A21E4" w:rsidRDefault="009A21E4" w:rsidP="009A21E4">
            <w:pPr>
              <w:spacing w:after="0" w:line="276" w:lineRule="auto"/>
              <w:ind w:left="0"/>
              <w:jc w:val="center"/>
              <w:rPr>
                <w:rFonts w:eastAsiaTheme="minorHAnsi" w:cs="Arial"/>
                <w:lang w:eastAsia="en-US"/>
              </w:rPr>
            </w:pPr>
            <w:r w:rsidRPr="009A21E4">
              <w:rPr>
                <w:rFonts w:eastAsiaTheme="minorHAnsi" w:cs="Arial"/>
                <w:lang w:eastAsia="en-US"/>
              </w:rPr>
              <w:t>0,126</w:t>
            </w:r>
          </w:p>
        </w:tc>
      </w:tr>
    </w:tbl>
    <w:p w14:paraId="79D4EB0C" w14:textId="77777777" w:rsidR="009A21E4" w:rsidRPr="009A21E4" w:rsidRDefault="009A21E4" w:rsidP="009A21E4">
      <w:pPr>
        <w:spacing w:after="0" w:line="240" w:lineRule="auto"/>
        <w:ind w:left="0"/>
        <w:jc w:val="both"/>
        <w:rPr>
          <w:rFonts w:eastAsiaTheme="minorHAnsi" w:cs="Arial"/>
          <w:lang w:eastAsia="en-US"/>
        </w:rPr>
      </w:pPr>
    </w:p>
    <w:p w14:paraId="784A1933" w14:textId="77777777" w:rsidR="009A21E4" w:rsidRPr="009A21E4" w:rsidRDefault="009A21E4" w:rsidP="009A21E4">
      <w:pPr>
        <w:spacing w:after="0" w:line="240" w:lineRule="auto"/>
        <w:ind w:left="0"/>
        <w:jc w:val="both"/>
        <w:rPr>
          <w:rFonts w:eastAsiaTheme="minorHAnsi" w:cs="Arial"/>
          <w:lang w:eastAsia="en-US"/>
        </w:rPr>
      </w:pPr>
      <w:r w:rsidRPr="009A21E4">
        <w:rPr>
          <w:rFonts w:eastAsiaTheme="minorHAnsi" w:cs="Arial"/>
          <w:b/>
          <w:bCs/>
          <w:lang w:eastAsia="en-US"/>
        </w:rPr>
        <w:t xml:space="preserve">2.2. </w:t>
      </w:r>
      <w:r w:rsidRPr="009A21E4">
        <w:rPr>
          <w:rFonts w:eastAsiaTheme="minorHAnsi" w:cs="Arial"/>
          <w:bCs/>
          <w:lang w:eastAsia="en-US"/>
        </w:rPr>
        <w:t>Ecrire le protocole détaillé de la préparation de la solution S</w:t>
      </w:r>
      <w:r w:rsidRPr="009A21E4">
        <w:rPr>
          <w:rFonts w:eastAsiaTheme="minorHAnsi" w:cs="Arial"/>
          <w:bCs/>
          <w:vertAlign w:val="subscript"/>
          <w:lang w:eastAsia="en-US"/>
        </w:rPr>
        <w:t>3</w:t>
      </w:r>
      <w:r w:rsidRPr="009A21E4">
        <w:rPr>
          <w:rFonts w:eastAsiaTheme="minorHAnsi" w:cs="Arial"/>
          <w:bCs/>
          <w:lang w:eastAsia="en-US"/>
        </w:rPr>
        <w:t xml:space="preserve"> à partir de la solution mère S</w:t>
      </w:r>
      <w:r w:rsidRPr="009A21E4">
        <w:rPr>
          <w:rFonts w:eastAsiaTheme="minorHAnsi" w:cs="Arial"/>
          <w:bCs/>
          <w:vertAlign w:val="subscript"/>
          <w:lang w:eastAsia="en-US"/>
        </w:rPr>
        <w:t>0</w:t>
      </w:r>
      <w:r w:rsidRPr="009A21E4">
        <w:rPr>
          <w:rFonts w:eastAsiaTheme="minorHAnsi" w:cs="Arial"/>
          <w:lang w:eastAsia="en-US"/>
        </w:rPr>
        <w:t>, en précisant la verrerie nécessaire.</w:t>
      </w:r>
    </w:p>
    <w:p w14:paraId="4DB5C4AB" w14:textId="77777777" w:rsidR="009A21E4" w:rsidRPr="009A21E4" w:rsidRDefault="009A21E4" w:rsidP="009A21E4">
      <w:pPr>
        <w:spacing w:after="0" w:line="240" w:lineRule="auto"/>
        <w:ind w:left="0"/>
        <w:jc w:val="both"/>
        <w:rPr>
          <w:rFonts w:eastAsiaTheme="minorHAnsi" w:cs="Arial"/>
          <w:lang w:eastAsia="en-US"/>
        </w:rPr>
      </w:pPr>
    </w:p>
    <w:p w14:paraId="5146B9CC" w14:textId="13C9D64F" w:rsidR="009A21E4" w:rsidRDefault="009A21E4" w:rsidP="009A21E4">
      <w:pPr>
        <w:spacing w:after="0" w:line="276" w:lineRule="auto"/>
        <w:ind w:left="0"/>
        <w:jc w:val="both"/>
        <w:rPr>
          <w:rFonts w:eastAsiaTheme="minorHAnsi" w:cs="Arial"/>
          <w:lang w:eastAsia="en-US"/>
        </w:rPr>
      </w:pPr>
      <w:r w:rsidRPr="009A21E4">
        <w:rPr>
          <w:rFonts w:eastAsiaTheme="minorHAnsi" w:cs="Arial"/>
          <w:b/>
          <w:bCs/>
          <w:lang w:eastAsia="en-US"/>
        </w:rPr>
        <w:t xml:space="preserve">2.3. </w:t>
      </w:r>
      <w:r w:rsidRPr="009A21E4">
        <w:rPr>
          <w:rFonts w:eastAsiaTheme="minorHAnsi" w:cs="Arial"/>
          <w:lang w:eastAsia="en-US"/>
        </w:rPr>
        <w:t>La loi de Beer Lambert est-elle vérifiée ? Justifier le par le calcul, sans réaliser de graphique.</w:t>
      </w:r>
    </w:p>
    <w:p w14:paraId="412F4C39" w14:textId="77777777" w:rsidR="002F4AC4" w:rsidRPr="009A21E4" w:rsidRDefault="002F4AC4" w:rsidP="009A21E4">
      <w:pPr>
        <w:spacing w:after="0" w:line="276" w:lineRule="auto"/>
        <w:ind w:left="0"/>
        <w:jc w:val="both"/>
        <w:rPr>
          <w:rFonts w:eastAsiaTheme="minorHAnsi" w:cs="Arial"/>
          <w:lang w:eastAsia="en-US"/>
        </w:rPr>
      </w:pPr>
    </w:p>
    <w:p w14:paraId="7CC11BBE" w14:textId="4E8BF109" w:rsidR="009A21E4" w:rsidRDefault="009A21E4" w:rsidP="009A21E4">
      <w:pPr>
        <w:spacing w:after="0" w:line="240" w:lineRule="auto"/>
        <w:ind w:left="0"/>
        <w:jc w:val="both"/>
        <w:rPr>
          <w:rFonts w:eastAsiaTheme="minorHAnsi" w:cs="Arial"/>
          <w:bCs/>
          <w:lang w:eastAsia="en-US"/>
        </w:rPr>
      </w:pPr>
      <w:r w:rsidRPr="009A21E4">
        <w:rPr>
          <w:rFonts w:eastAsiaTheme="minorHAnsi" w:cs="Arial"/>
          <w:b/>
          <w:bCs/>
          <w:lang w:eastAsia="en-US"/>
        </w:rPr>
        <w:t xml:space="preserve">2.4. </w:t>
      </w:r>
      <w:r w:rsidRPr="009A21E4">
        <w:rPr>
          <w:rFonts w:eastAsiaTheme="minorHAnsi" w:cs="Arial"/>
          <w:bCs/>
          <w:lang w:eastAsia="en-US"/>
        </w:rPr>
        <w:t xml:space="preserve">En déduire une relation entre </w:t>
      </w:r>
      <w:r w:rsidRPr="009A21E4">
        <w:rPr>
          <w:rFonts w:eastAsiaTheme="minorHAnsi" w:cs="Arial"/>
          <w:bCs/>
          <w:i/>
          <w:iCs/>
          <w:lang w:eastAsia="en-US"/>
        </w:rPr>
        <w:t>A</w:t>
      </w:r>
      <w:r w:rsidRPr="009A21E4">
        <w:rPr>
          <w:rFonts w:eastAsiaTheme="minorHAnsi" w:cs="Arial"/>
          <w:bCs/>
          <w:lang w:eastAsia="en-US"/>
        </w:rPr>
        <w:t xml:space="preserve"> l’absorbance de la solution et </w:t>
      </w:r>
      <w:r w:rsidRPr="009A21E4">
        <w:rPr>
          <w:rFonts w:eastAsiaTheme="minorHAnsi" w:cs="Arial"/>
          <w:bCs/>
          <w:i/>
          <w:iCs/>
          <w:lang w:eastAsia="en-US"/>
        </w:rPr>
        <w:t>C</w:t>
      </w:r>
      <w:r w:rsidRPr="009A21E4">
        <w:rPr>
          <w:rFonts w:eastAsiaTheme="minorHAnsi" w:cs="Arial"/>
          <w:bCs/>
          <w:lang w:eastAsia="en-US"/>
        </w:rPr>
        <w:t xml:space="preserve"> la concentration en masse du bleu de méthylène, en précisant les unités des grandeurs.</w:t>
      </w:r>
    </w:p>
    <w:p w14:paraId="69AAC74D" w14:textId="77777777" w:rsidR="002F4AC4" w:rsidRPr="009A21E4" w:rsidRDefault="002F4AC4" w:rsidP="009A21E4">
      <w:pPr>
        <w:spacing w:after="0" w:line="240" w:lineRule="auto"/>
        <w:ind w:left="0"/>
        <w:jc w:val="both"/>
        <w:rPr>
          <w:rFonts w:eastAsiaTheme="minorHAnsi" w:cs="Arial"/>
          <w:bCs/>
          <w:lang w:eastAsia="en-US"/>
        </w:rPr>
      </w:pPr>
    </w:p>
    <w:p w14:paraId="17525172" w14:textId="77777777" w:rsidR="009A21E4" w:rsidRPr="009A21E4" w:rsidRDefault="009A21E4" w:rsidP="009A21E4">
      <w:pPr>
        <w:spacing w:after="0" w:line="240" w:lineRule="auto"/>
        <w:ind w:left="0"/>
        <w:jc w:val="both"/>
        <w:rPr>
          <w:rFonts w:eastAsiaTheme="minorHAnsi" w:cs="Arial"/>
          <w:bCs/>
          <w:lang w:eastAsia="en-US"/>
        </w:rPr>
      </w:pPr>
      <w:r w:rsidRPr="009A21E4">
        <w:rPr>
          <w:rFonts w:eastAsiaTheme="minorHAnsi" w:cs="Arial"/>
          <w:b/>
          <w:bCs/>
          <w:lang w:eastAsia="en-US"/>
        </w:rPr>
        <w:t xml:space="preserve">2.5. </w:t>
      </w:r>
      <w:r w:rsidRPr="009A21E4">
        <w:rPr>
          <w:rFonts w:eastAsiaTheme="minorHAnsi" w:cs="Arial"/>
          <w:bCs/>
          <w:lang w:eastAsia="en-US"/>
        </w:rPr>
        <w:t>Une solution S</w:t>
      </w:r>
      <w:r w:rsidRPr="009A21E4">
        <w:rPr>
          <w:rFonts w:eastAsiaTheme="minorHAnsi" w:cs="Arial"/>
          <w:bCs/>
          <w:vertAlign w:val="subscript"/>
          <w:lang w:eastAsia="en-US"/>
        </w:rPr>
        <w:t>D</w:t>
      </w:r>
      <w:r w:rsidRPr="009A21E4">
        <w:rPr>
          <w:rFonts w:eastAsiaTheme="minorHAnsi" w:cs="Arial"/>
          <w:bCs/>
          <w:lang w:eastAsia="en-US"/>
        </w:rPr>
        <w:t xml:space="preserve"> de bleu de méthylène a été obtenue en diluant 400 fois la solution S. La mesure de l’absorbance de la solution S</w:t>
      </w:r>
      <w:r w:rsidRPr="009A21E4">
        <w:rPr>
          <w:rFonts w:eastAsiaTheme="minorHAnsi" w:cs="Arial"/>
          <w:bCs/>
          <w:vertAlign w:val="subscript"/>
          <w:lang w:eastAsia="en-US"/>
        </w:rPr>
        <w:t>D</w:t>
      </w:r>
      <w:r w:rsidRPr="009A21E4">
        <w:rPr>
          <w:rFonts w:eastAsiaTheme="minorHAnsi" w:cs="Arial"/>
          <w:bCs/>
          <w:lang w:eastAsia="en-US"/>
        </w:rPr>
        <w:t xml:space="preserve"> vaut </w:t>
      </w:r>
      <w:r w:rsidRPr="009A21E4">
        <w:rPr>
          <w:rFonts w:eastAsiaTheme="minorHAnsi" w:cs="Arial"/>
          <w:bCs/>
          <w:i/>
          <w:iCs/>
          <w:lang w:eastAsia="en-US"/>
        </w:rPr>
        <w:t>A</w:t>
      </w:r>
      <w:r w:rsidRPr="009A21E4">
        <w:rPr>
          <w:rFonts w:eastAsiaTheme="minorHAnsi" w:cs="Arial"/>
          <w:bCs/>
          <w:vertAlign w:val="subscript"/>
          <w:lang w:eastAsia="en-US"/>
        </w:rPr>
        <w:t>D</w:t>
      </w:r>
      <w:r w:rsidRPr="009A21E4">
        <w:rPr>
          <w:rFonts w:eastAsiaTheme="minorHAnsi" w:cs="Arial"/>
          <w:bCs/>
          <w:lang w:eastAsia="en-US"/>
        </w:rPr>
        <w:t xml:space="preserve"> = 0,328. </w:t>
      </w:r>
    </w:p>
    <w:p w14:paraId="4C0B3AD6" w14:textId="77777777" w:rsidR="009A21E4" w:rsidRPr="009A21E4" w:rsidRDefault="009A21E4" w:rsidP="009A21E4">
      <w:pPr>
        <w:spacing w:after="0" w:line="276" w:lineRule="auto"/>
        <w:ind w:left="0"/>
        <w:jc w:val="both"/>
        <w:rPr>
          <w:rFonts w:eastAsiaTheme="minorHAnsi" w:cs="Arial"/>
          <w:bCs/>
          <w:lang w:eastAsia="en-US"/>
        </w:rPr>
      </w:pPr>
      <w:r w:rsidRPr="009A21E4">
        <w:rPr>
          <w:rFonts w:eastAsiaTheme="minorHAnsi" w:cs="Arial"/>
          <w:b/>
          <w:bCs/>
          <w:lang w:eastAsia="en-US"/>
        </w:rPr>
        <w:t xml:space="preserve">2.5.1. </w:t>
      </w:r>
      <w:r w:rsidRPr="009A21E4">
        <w:rPr>
          <w:rFonts w:eastAsiaTheme="minorHAnsi" w:cs="Arial"/>
          <w:bCs/>
          <w:lang w:eastAsia="en-US"/>
        </w:rPr>
        <w:t xml:space="preserve">Déterminer la concentration </w:t>
      </w:r>
      <w:r w:rsidRPr="009A21E4">
        <w:rPr>
          <w:rFonts w:eastAsiaTheme="minorHAnsi" w:cs="Arial"/>
          <w:bCs/>
          <w:i/>
          <w:lang w:eastAsia="en-US"/>
        </w:rPr>
        <w:t>C</w:t>
      </w:r>
      <w:r w:rsidRPr="009A21E4">
        <w:rPr>
          <w:rFonts w:eastAsiaTheme="minorHAnsi" w:cs="Arial"/>
          <w:bCs/>
          <w:vertAlign w:val="subscript"/>
          <w:lang w:eastAsia="en-US"/>
        </w:rPr>
        <w:t>D</w:t>
      </w:r>
      <w:r w:rsidRPr="009A21E4">
        <w:rPr>
          <w:rFonts w:eastAsiaTheme="minorHAnsi" w:cs="Arial"/>
          <w:bCs/>
          <w:lang w:eastAsia="en-US"/>
        </w:rPr>
        <w:t xml:space="preserve"> de la solution S</w:t>
      </w:r>
      <w:r w:rsidRPr="009A21E4">
        <w:rPr>
          <w:rFonts w:eastAsiaTheme="minorHAnsi" w:cs="Arial"/>
          <w:bCs/>
          <w:vertAlign w:val="subscript"/>
          <w:lang w:eastAsia="en-US"/>
        </w:rPr>
        <w:t>D</w:t>
      </w:r>
      <w:r w:rsidRPr="009A21E4">
        <w:rPr>
          <w:rFonts w:eastAsiaTheme="minorHAnsi" w:cs="Arial"/>
          <w:bCs/>
          <w:lang w:eastAsia="en-US"/>
        </w:rPr>
        <w:t>.</w:t>
      </w:r>
    </w:p>
    <w:p w14:paraId="65DCF4F6" w14:textId="77777777" w:rsidR="009A21E4" w:rsidRPr="009A21E4" w:rsidRDefault="009A21E4" w:rsidP="009A21E4">
      <w:pPr>
        <w:spacing w:after="0" w:line="276" w:lineRule="auto"/>
        <w:ind w:left="0"/>
        <w:jc w:val="both"/>
        <w:rPr>
          <w:rFonts w:eastAsiaTheme="minorHAnsi" w:cs="Arial"/>
          <w:bCs/>
          <w:lang w:eastAsia="en-US"/>
        </w:rPr>
      </w:pPr>
      <w:r w:rsidRPr="009A21E4">
        <w:rPr>
          <w:rFonts w:eastAsiaTheme="minorHAnsi" w:cs="Arial"/>
          <w:b/>
          <w:bCs/>
          <w:lang w:eastAsia="en-US"/>
        </w:rPr>
        <w:t xml:space="preserve">2.5.2. </w:t>
      </w:r>
      <w:r w:rsidRPr="009A21E4">
        <w:rPr>
          <w:rFonts w:eastAsiaTheme="minorHAnsi" w:cs="Arial"/>
          <w:bCs/>
          <w:lang w:eastAsia="en-US"/>
        </w:rPr>
        <w:t>En considérant une incertitude-type de mesure u(</w:t>
      </w:r>
      <w:r w:rsidRPr="009A21E4">
        <w:rPr>
          <w:rFonts w:eastAsiaTheme="minorHAnsi" w:cs="Arial"/>
          <w:bCs/>
          <w:i/>
          <w:lang w:eastAsia="en-US"/>
        </w:rPr>
        <w:t>C</w:t>
      </w:r>
      <w:r w:rsidRPr="009A21E4">
        <w:rPr>
          <w:rFonts w:eastAsiaTheme="minorHAnsi" w:cs="Arial"/>
          <w:bCs/>
          <w:vertAlign w:val="subscript"/>
          <w:lang w:eastAsia="en-US"/>
        </w:rPr>
        <w:t>S</w:t>
      </w:r>
      <w:r w:rsidRPr="009A21E4">
        <w:rPr>
          <w:rFonts w:eastAsiaTheme="minorHAnsi" w:cs="Arial"/>
          <w:bCs/>
          <w:lang w:eastAsia="en-US"/>
        </w:rPr>
        <w:t>) égale à 0,2 mmol.L</w:t>
      </w:r>
      <w:r w:rsidRPr="009A21E4">
        <w:rPr>
          <w:rFonts w:eastAsiaTheme="minorHAnsi" w:cs="Arial"/>
          <w:bCs/>
          <w:vertAlign w:val="superscript"/>
          <w:lang w:eastAsia="en-US"/>
        </w:rPr>
        <w:t>-1</w:t>
      </w:r>
      <w:r w:rsidRPr="009A21E4">
        <w:rPr>
          <w:rFonts w:eastAsiaTheme="minorHAnsi" w:cs="Arial"/>
          <w:bCs/>
          <w:lang w:eastAsia="en-US"/>
        </w:rPr>
        <w:t xml:space="preserve">, la valeur </w:t>
      </w:r>
      <w:r w:rsidRPr="009A21E4">
        <w:rPr>
          <w:rFonts w:eastAsiaTheme="minorHAnsi" w:cs="Arial"/>
          <w:bCs/>
          <w:i/>
          <w:iCs/>
          <w:lang w:eastAsia="en-US"/>
        </w:rPr>
        <w:t>C</w:t>
      </w:r>
      <w:r w:rsidRPr="009A21E4">
        <w:rPr>
          <w:rFonts w:eastAsiaTheme="minorHAnsi" w:cs="Arial"/>
          <w:bCs/>
          <w:vertAlign w:val="subscript"/>
          <w:lang w:eastAsia="en-US"/>
        </w:rPr>
        <w:t xml:space="preserve">S </w:t>
      </w:r>
      <w:r w:rsidRPr="009A21E4">
        <w:rPr>
          <w:rFonts w:eastAsiaTheme="minorHAnsi" w:cs="Arial"/>
          <w:bCs/>
          <w:lang w:eastAsia="en-US"/>
        </w:rPr>
        <w:t>obtenue expérimentalement est-elle en accord avec l’étiquetage de la solution S ? Justifier.</w:t>
      </w:r>
    </w:p>
    <w:sectPr w:rsidR="009A21E4" w:rsidRPr="009A21E4" w:rsidSect="009B0373">
      <w:headerReference w:type="even" r:id="rId19"/>
      <w:footerReference w:type="even" r:id="rId20"/>
      <w:pgSz w:w="11906" w:h="16838" w:code="9"/>
      <w:pgMar w:top="851" w:right="851" w:bottom="851" w:left="851"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F5AF8" w14:textId="77777777" w:rsidR="00067B77" w:rsidRDefault="00067B77" w:rsidP="0053612B">
      <w:pPr>
        <w:spacing w:after="0" w:line="240" w:lineRule="auto"/>
      </w:pPr>
      <w:r>
        <w:separator/>
      </w:r>
    </w:p>
  </w:endnote>
  <w:endnote w:type="continuationSeparator" w:id="0">
    <w:p w14:paraId="4C75466A" w14:textId="77777777" w:rsidR="00067B77" w:rsidRDefault="00067B77"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41B75" w14:textId="714A282A" w:rsidR="00AD38CA" w:rsidRPr="00626E0F" w:rsidRDefault="002B20A9" w:rsidP="00626E0F">
    <w:pPr>
      <w:pStyle w:val="Pieddepage"/>
      <w:tabs>
        <w:tab w:val="clear" w:pos="4536"/>
        <w:tab w:val="center" w:pos="2835"/>
      </w:tabs>
      <w:ind w:left="-567"/>
      <w:rPr>
        <w:rFonts w:ascii="Arial" w:hAnsi="Arial" w:cs="Arial"/>
        <w:color w:val="000000" w:themeColor="text1"/>
      </w:rPr>
    </w:pPr>
    <w:r w:rsidRPr="00626E0F">
      <w:rPr>
        <w:rFonts w:ascii="Arial" w:hAnsi="Arial" w:cs="Arial"/>
        <w:noProof/>
        <w:color w:val="000000" w:themeColor="text1"/>
      </w:rPr>
      <mc:AlternateContent>
        <mc:Choice Requires="wps">
          <w:drawing>
            <wp:anchor distT="0" distB="0" distL="114300" distR="114300" simplePos="0" relativeHeight="251655168" behindDoc="0" locked="0" layoutInCell="1" allowOverlap="1" wp14:anchorId="572DE657" wp14:editId="38F02F0F">
              <wp:simplePos x="0" y="0"/>
              <wp:positionH relativeFrom="page">
                <wp:posOffset>3960495</wp:posOffset>
              </wp:positionH>
              <wp:positionV relativeFrom="page">
                <wp:posOffset>10081260</wp:posOffset>
              </wp:positionV>
              <wp:extent cx="3312795" cy="431800"/>
              <wp:effectExtent l="7620" t="13335" r="13335" b="1206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431800"/>
                      </a:xfrm>
                      <a:prstGeom prst="rect">
                        <a:avLst/>
                      </a:prstGeom>
                      <a:gradFill rotWithShape="1">
                        <a:gsLst>
                          <a:gs pos="0">
                            <a:srgbClr val="FFFFFF"/>
                          </a:gs>
                          <a:gs pos="100000">
                            <a:srgbClr val="FFFFFF">
                              <a:gamma/>
                              <a:tint val="0"/>
                              <a:invGamma/>
                            </a:srgbClr>
                          </a:gs>
                        </a:gsLst>
                        <a:lin ang="5400000" scaled="1"/>
                      </a:gradFill>
                      <a:ln w="3175">
                        <a:solidFill>
                          <a:srgbClr val="BFBFBF"/>
                        </a:solidFill>
                        <a:prstDash val="dash"/>
                        <a:miter lim="800000"/>
                        <a:headEnd/>
                        <a:tailEnd/>
                      </a:ln>
                    </wps:spPr>
                    <wps:txbx>
                      <w:txbxContent>
                        <w:p w14:paraId="403A9ACD" w14:textId="77777777" w:rsidR="00E51C64" w:rsidRPr="00AF5BC9" w:rsidRDefault="00E51C64" w:rsidP="00E51C64">
                          <w:pPr>
                            <w:ind w:left="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w14:anchorId="572DE657" id="_x0000_t202" coordsize="21600,21600" o:spt="202" path="m,l,21600r21600,l21600,xe">
              <v:stroke joinstyle="miter"/>
              <v:path gradientshapeok="t" o:connecttype="rect"/>
            </v:shapetype>
            <v:shape id="_x0000_s1032" type="#_x0000_t202" style="position:absolute;left:0;text-align:left;margin-left:311.85pt;margin-top:793.8pt;width:260.85pt;height:3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" strokecolor="#bfbfbf" strokeweight=".25pt">
              <v:fill rotate="t" focus="100%" type="gradient"/>
              <v:stroke dashstyle="dash"/>
              <v:textbox>
                <w:txbxContent>
                  <w:p w14:paraId="403A9ACD" w14:textId="77777777" w:rsidR="00E51C64" w:rsidRPr="00AF5BC9" w:rsidRDefault="00E51C64" w:rsidP="00E51C64">
                    <w:pPr>
                      <w:ind w:left="0"/>
                      <w:rPr>
                        <w:sz w:val="20"/>
                        <w:szCs w:val="20"/>
                      </w:rPr>
                    </w:pPr>
                  </w:p>
                </w:txbxContent>
              </v:textbox>
              <w10:wrap anchorx="page" anchory="page"/>
            </v:shape>
          </w:pict>
        </mc:Fallback>
      </mc:AlternateContent>
    </w:r>
    <w:r w:rsidR="008E5053" w:rsidRPr="00626E0F">
      <w:rPr>
        <w:rFonts w:ascii="Arial" w:hAnsi="Arial"/>
        <w:color w:val="000000" w:themeColor="text1"/>
        <w:sz w:val="20"/>
      </w:rPr>
      <w:t xml:space="preserve">Page </w:t>
    </w:r>
    <w:r w:rsidR="008E5053" w:rsidRPr="00626E0F">
      <w:rPr>
        <w:rFonts w:ascii="Arial" w:hAnsi="Arial"/>
        <w:color w:val="000000" w:themeColor="text1"/>
        <w:sz w:val="20"/>
      </w:rPr>
      <w:fldChar w:fldCharType="begin"/>
    </w:r>
    <w:r w:rsidR="008E5053" w:rsidRPr="00626E0F">
      <w:rPr>
        <w:rFonts w:ascii="Arial" w:hAnsi="Arial"/>
        <w:color w:val="000000" w:themeColor="text1"/>
        <w:sz w:val="20"/>
      </w:rPr>
      <w:instrText xml:space="preserve"> PAGE  \* MERGEFORMAT </w:instrText>
    </w:r>
    <w:r w:rsidR="008E5053" w:rsidRPr="00626E0F">
      <w:rPr>
        <w:rFonts w:ascii="Arial" w:hAnsi="Arial"/>
        <w:color w:val="000000" w:themeColor="text1"/>
        <w:sz w:val="20"/>
      </w:rPr>
      <w:fldChar w:fldCharType="separate"/>
    </w:r>
    <w:r w:rsidR="005D30E8" w:rsidRPr="005D30E8">
      <w:rPr>
        <w:noProof/>
        <w:color w:val="000000" w:themeColor="text1"/>
        <w:sz w:val="20"/>
      </w:rPr>
      <w:t>2</w:t>
    </w:r>
    <w:r w:rsidR="008E5053" w:rsidRPr="00626E0F">
      <w:rPr>
        <w:rFonts w:ascii="Arial" w:hAnsi="Arial"/>
        <w:color w:val="000000" w:themeColor="text1"/>
        <w:sz w:val="20"/>
      </w:rPr>
      <w:fldChar w:fldCharType="end"/>
    </w:r>
    <w:r w:rsidR="008E5053" w:rsidRPr="00626E0F">
      <w:rPr>
        <w:rFonts w:ascii="Arial" w:hAnsi="Arial"/>
        <w:color w:val="000000" w:themeColor="text1"/>
        <w:sz w:val="20"/>
      </w:rPr>
      <w:t xml:space="preserve"> / </w:t>
    </w:r>
    <w:r w:rsidR="008E5053" w:rsidRPr="00626E0F">
      <w:rPr>
        <w:rFonts w:ascii="Arial" w:hAnsi="Arial"/>
        <w:color w:val="000000" w:themeColor="text1"/>
        <w:sz w:val="20"/>
      </w:rPr>
      <w:fldChar w:fldCharType="begin"/>
    </w:r>
    <w:r w:rsidR="008E5053" w:rsidRPr="00626E0F">
      <w:rPr>
        <w:rFonts w:ascii="Arial" w:hAnsi="Arial"/>
        <w:color w:val="000000" w:themeColor="text1"/>
        <w:sz w:val="20"/>
      </w:rPr>
      <w:instrText xml:space="preserve"> NUMPAGES  \* MERGEFORMAT </w:instrText>
    </w:r>
    <w:r w:rsidR="008E5053" w:rsidRPr="00626E0F">
      <w:rPr>
        <w:rFonts w:ascii="Arial" w:hAnsi="Arial"/>
        <w:color w:val="000000" w:themeColor="text1"/>
        <w:sz w:val="20"/>
      </w:rPr>
      <w:fldChar w:fldCharType="separate"/>
    </w:r>
    <w:r w:rsidR="005D30E8" w:rsidRPr="005D30E8">
      <w:rPr>
        <w:noProof/>
        <w:color w:val="000000" w:themeColor="text1"/>
        <w:sz w:val="20"/>
      </w:rPr>
      <w:t>8</w:t>
    </w:r>
    <w:r w:rsidR="008E5053" w:rsidRPr="00626E0F">
      <w:rPr>
        <w:rFonts w:ascii="Arial" w:hAnsi="Arial"/>
        <w:color w:val="000000" w:themeColor="text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3213A" w14:textId="77777777" w:rsidR="00067B77" w:rsidRDefault="00067B77" w:rsidP="0053612B">
      <w:pPr>
        <w:spacing w:after="0" w:line="240" w:lineRule="auto"/>
      </w:pPr>
      <w:r>
        <w:separator/>
      </w:r>
    </w:p>
  </w:footnote>
  <w:footnote w:type="continuationSeparator" w:id="0">
    <w:p w14:paraId="35B0FD3B" w14:textId="77777777" w:rsidR="00067B77" w:rsidRDefault="00067B77" w:rsidP="00536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BDA62" w14:textId="77777777" w:rsidR="0053612B" w:rsidRDefault="002B20A9" w:rsidP="0077193A">
    <w:pPr>
      <w:pStyle w:val="EnTetePiedsDePage"/>
      <w:jc w:val="center"/>
    </w:pPr>
    <w:r>
      <w:rPr>
        <w:noProof/>
      </w:rPr>
      <w:drawing>
        <wp:anchor distT="0" distB="0" distL="114300" distR="114300" simplePos="0" relativeHeight="251656192" behindDoc="0" locked="0" layoutInCell="1" allowOverlap="1" wp14:anchorId="28985DD1" wp14:editId="7853DE49">
          <wp:simplePos x="0" y="0"/>
          <wp:positionH relativeFrom="page">
            <wp:posOffset>360045</wp:posOffset>
          </wp:positionH>
          <wp:positionV relativeFrom="page">
            <wp:posOffset>360045</wp:posOffset>
          </wp:positionV>
          <wp:extent cx="6840220" cy="1546860"/>
          <wp:effectExtent l="0" t="0" r="0" b="0"/>
          <wp:wrapNone/>
          <wp:docPr id="76"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7"/>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1546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D5D452" w14:textId="77777777" w:rsidR="00D760A4" w:rsidRDefault="00D760A4" w:rsidP="00B01E2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785B22"/>
    <w:multiLevelType w:val="hybridMultilevel"/>
    <w:tmpl w:val="61C8C326"/>
    <w:lvl w:ilvl="0" w:tplc="B8623CC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36D3643"/>
    <w:multiLevelType w:val="hybridMultilevel"/>
    <w:tmpl w:val="A7609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73C6F50"/>
    <w:multiLevelType w:val="hybridMultilevel"/>
    <w:tmpl w:val="1B4237F6"/>
    <w:lvl w:ilvl="0" w:tplc="F47E162C">
      <w:start w:val="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8572DE7"/>
    <w:multiLevelType w:val="multilevel"/>
    <w:tmpl w:val="42B235F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508EF"/>
    <w:rsid w:val="00067B77"/>
    <w:rsid w:val="000A3345"/>
    <w:rsid w:val="000C6554"/>
    <w:rsid w:val="00101DE0"/>
    <w:rsid w:val="00103C42"/>
    <w:rsid w:val="00116AFA"/>
    <w:rsid w:val="00121498"/>
    <w:rsid w:val="00133B59"/>
    <w:rsid w:val="001424D6"/>
    <w:rsid w:val="001532D0"/>
    <w:rsid w:val="001718FD"/>
    <w:rsid w:val="0017563A"/>
    <w:rsid w:val="001771F9"/>
    <w:rsid w:val="002356EA"/>
    <w:rsid w:val="002A68A6"/>
    <w:rsid w:val="002B20A9"/>
    <w:rsid w:val="002E4943"/>
    <w:rsid w:val="002F4AC4"/>
    <w:rsid w:val="003408B3"/>
    <w:rsid w:val="00341269"/>
    <w:rsid w:val="003D1776"/>
    <w:rsid w:val="003D3231"/>
    <w:rsid w:val="004278EB"/>
    <w:rsid w:val="00476663"/>
    <w:rsid w:val="0048373A"/>
    <w:rsid w:val="004B41C6"/>
    <w:rsid w:val="004F13CF"/>
    <w:rsid w:val="005122FA"/>
    <w:rsid w:val="0053612B"/>
    <w:rsid w:val="00571B73"/>
    <w:rsid w:val="005822C2"/>
    <w:rsid w:val="005D30E8"/>
    <w:rsid w:val="005F583D"/>
    <w:rsid w:val="00626E0F"/>
    <w:rsid w:val="00634187"/>
    <w:rsid w:val="00643D11"/>
    <w:rsid w:val="0067731A"/>
    <w:rsid w:val="00680041"/>
    <w:rsid w:val="006A2305"/>
    <w:rsid w:val="006A50F6"/>
    <w:rsid w:val="006B1682"/>
    <w:rsid w:val="006E390A"/>
    <w:rsid w:val="007110B0"/>
    <w:rsid w:val="007275B1"/>
    <w:rsid w:val="0077193A"/>
    <w:rsid w:val="00772C44"/>
    <w:rsid w:val="007845EA"/>
    <w:rsid w:val="007868F1"/>
    <w:rsid w:val="007A7764"/>
    <w:rsid w:val="007C35A8"/>
    <w:rsid w:val="00826640"/>
    <w:rsid w:val="00837873"/>
    <w:rsid w:val="0084040C"/>
    <w:rsid w:val="00857478"/>
    <w:rsid w:val="00860F2B"/>
    <w:rsid w:val="008679E1"/>
    <w:rsid w:val="00875770"/>
    <w:rsid w:val="0089178E"/>
    <w:rsid w:val="00893F38"/>
    <w:rsid w:val="008E2217"/>
    <w:rsid w:val="008E5053"/>
    <w:rsid w:val="008F477F"/>
    <w:rsid w:val="008F72C8"/>
    <w:rsid w:val="00977ADB"/>
    <w:rsid w:val="009A21E4"/>
    <w:rsid w:val="009B0373"/>
    <w:rsid w:val="009D1A0F"/>
    <w:rsid w:val="009D7A17"/>
    <w:rsid w:val="009E0FEA"/>
    <w:rsid w:val="00A30FA0"/>
    <w:rsid w:val="00A61AC9"/>
    <w:rsid w:val="00A76AD3"/>
    <w:rsid w:val="00A9487D"/>
    <w:rsid w:val="00AB4BAE"/>
    <w:rsid w:val="00AB721C"/>
    <w:rsid w:val="00AD38CA"/>
    <w:rsid w:val="00AF5BC9"/>
    <w:rsid w:val="00B01E20"/>
    <w:rsid w:val="00B13C1A"/>
    <w:rsid w:val="00B2660B"/>
    <w:rsid w:val="00B850C9"/>
    <w:rsid w:val="00B92318"/>
    <w:rsid w:val="00C17A52"/>
    <w:rsid w:val="00C33076"/>
    <w:rsid w:val="00C44650"/>
    <w:rsid w:val="00C67037"/>
    <w:rsid w:val="00C8311A"/>
    <w:rsid w:val="00CA5A3D"/>
    <w:rsid w:val="00CA5D1C"/>
    <w:rsid w:val="00CB5AF5"/>
    <w:rsid w:val="00CB6093"/>
    <w:rsid w:val="00CC0053"/>
    <w:rsid w:val="00D15825"/>
    <w:rsid w:val="00D545E4"/>
    <w:rsid w:val="00D760A4"/>
    <w:rsid w:val="00D97177"/>
    <w:rsid w:val="00E32EB3"/>
    <w:rsid w:val="00E32F53"/>
    <w:rsid w:val="00E51C64"/>
    <w:rsid w:val="00E5600F"/>
    <w:rsid w:val="00E63874"/>
    <w:rsid w:val="00EA0C7A"/>
    <w:rsid w:val="00EE1F69"/>
    <w:rsid w:val="00F03BC8"/>
    <w:rsid w:val="00F06AF1"/>
    <w:rsid w:val="00F074C8"/>
    <w:rsid w:val="00F13990"/>
    <w:rsid w:val="00F34CBC"/>
    <w:rsid w:val="00FA2E0B"/>
    <w:rsid w:val="00FA75C8"/>
    <w:rsid w:val="00FE7167"/>
    <w:rsid w:val="00FF48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paragraph" w:styleId="Paragraphedeliste">
    <w:name w:val="List Paragraph"/>
    <w:basedOn w:val="Normal"/>
    <w:uiPriority w:val="34"/>
    <w:qFormat/>
    <w:rsid w:val="009A21E4"/>
    <w:pPr>
      <w:spacing w:after="200" w:line="276" w:lineRule="auto"/>
      <w:ind w:left="720"/>
      <w:contextualSpacing/>
    </w:pPr>
    <w:rPr>
      <w:rFonts w:eastAsiaTheme="minorHAnsi"/>
      <w:lang w:eastAsia="en-US"/>
    </w:rPr>
  </w:style>
  <w:style w:type="table" w:customStyle="1" w:styleId="Grilledutableau1">
    <w:name w:val="Grille du tableau1"/>
    <w:basedOn w:val="TableauNormal"/>
    <w:next w:val="Grilledutableau"/>
    <w:uiPriority w:val="39"/>
    <w:rsid w:val="009A21E4"/>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B0373"/>
    <w:rPr>
      <w:color w:val="0000FF" w:themeColor="hyperlink"/>
      <w:u w:val="single"/>
    </w:rPr>
  </w:style>
  <w:style w:type="character" w:styleId="Mentionnonrsolue">
    <w:name w:val="Unresolved Mention"/>
    <w:basedOn w:val="Policepardfaut"/>
    <w:uiPriority w:val="99"/>
    <w:semiHidden/>
    <w:unhideWhenUsed/>
    <w:rsid w:val="009B03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tura-sciences.com/sante/actualites/biologie-bleu-methylene-ralentirait-vieillissement-peau-50380/" TargetMode="External"/><Relationship Id="rId13" Type="http://schemas.openxmlformats.org/officeDocument/2006/relationships/hyperlink" Target="https://www.futura-sciences.com/sante/definitions/biologie-cytoplasme-125/" TargetMode="External"/><Relationship Id="rId18" Type="http://schemas.microsoft.com/office/2007/relationships/hdphoto" Target="media/hdphoto1.wdp"/><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labolycee.org" TargetMode="External"/><Relationship Id="rId12" Type="http://schemas.openxmlformats.org/officeDocument/2006/relationships/hyperlink" Target="https://www.futura-sciences.com/tech/definitions/technologie-microscope-11130/"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utura-sciences.com/sante/definitions/medecine-bacterie-101/"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www.unine.ch/chs/home/informations-aux-etudiants-du-bs/chimie-generale/demonstrations-experimentales/44-le-miracle-bleu---loxydo-redu.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pc.ac-aix-marseille.fr/labospc/spip.php?article285" TargetMode="External"/><Relationship Id="rId14" Type="http://schemas.openxmlformats.org/officeDocument/2006/relationships/hyperlink" Target="http://www.futura-sciences.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4714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2020-03-15T17:07:00Z</dcterms:created>
  <dcterms:modified xsi:type="dcterms:W3CDTF">2020-06-14T20:15:00Z</dcterms:modified>
</cp:coreProperties>
</file>