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5C08" w14:paraId="1F56B913" w14:textId="77777777" w:rsidTr="00EE0314">
        <w:tc>
          <w:tcPr>
            <w:tcW w:w="9889" w:type="dxa"/>
          </w:tcPr>
          <w:p w14:paraId="5CF0DCE2" w14:textId="61061341" w:rsidR="00145C08" w:rsidRDefault="00145C08" w:rsidP="00EE0314">
            <w:pPr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>
              <w:rPr>
                <w:rFonts w:eastAsia="Times New Roman"/>
                <w:b/>
                <w:szCs w:val="22"/>
              </w:rPr>
              <w:tab/>
              <w:t>2020</w:t>
            </w:r>
            <w:r>
              <w:rPr>
                <w:rFonts w:eastAsia="Times New Roman"/>
                <w:b/>
                <w:szCs w:val="22"/>
              </w:rPr>
              <w:t xml:space="preserve"> Correction ©</w:t>
            </w:r>
            <w:r>
              <w:rPr>
                <w:rFonts w:eastAsia="Times New Roman"/>
                <w:b/>
                <w:szCs w:val="22"/>
              </w:rPr>
              <w:t xml:space="preserve"> </w:t>
            </w:r>
            <w:hyperlink r:id="rId5" w:history="1">
              <w:r w:rsidRPr="00CB0A08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145C08" w14:paraId="6DD35B82" w14:textId="77777777" w:rsidTr="00EE0314">
        <w:tc>
          <w:tcPr>
            <w:tcW w:w="9889" w:type="dxa"/>
          </w:tcPr>
          <w:p w14:paraId="5D06C1C0" w14:textId="316E42E5" w:rsidR="00145C08" w:rsidRPr="00893F38" w:rsidRDefault="00145C08" w:rsidP="00EE0314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Première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 :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E3C3</w:t>
            </w:r>
          </w:p>
          <w:p w14:paraId="6743D743" w14:textId="61290C0E" w:rsidR="00145C08" w:rsidRPr="00626E0F" w:rsidRDefault="00145C08" w:rsidP="00EE0314">
            <w:pPr>
              <w:ind w:left="34"/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Générale </w:t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physique-chimie</w:t>
            </w:r>
          </w:p>
          <w:p w14:paraId="30A6107D" w14:textId="16037729" w:rsidR="00145C08" w:rsidRPr="001E5D86" w:rsidRDefault="00145C08" w:rsidP="00EE0314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2 h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Oui 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Non</w:t>
            </w:r>
          </w:p>
        </w:tc>
      </w:tr>
    </w:tbl>
    <w:p w14:paraId="606A6ABC" w14:textId="77777777" w:rsidR="00145C08" w:rsidRPr="00145C08" w:rsidRDefault="00145C08" w:rsidP="00145C08">
      <w:pPr>
        <w:spacing w:after="200"/>
        <w:jc w:val="center"/>
        <w:rPr>
          <w:rFonts w:cs="Arial"/>
          <w:b/>
          <w:sz w:val="24"/>
          <w:szCs w:val="24"/>
        </w:rPr>
      </w:pPr>
      <w:r w:rsidRPr="00145C08">
        <w:rPr>
          <w:rFonts w:cs="Arial"/>
          <w:b/>
          <w:sz w:val="24"/>
          <w:szCs w:val="24"/>
        </w:rPr>
        <w:t>La détection du tabagisme passif (10 points)</w:t>
      </w:r>
    </w:p>
    <w:p w14:paraId="106D09E8" w14:textId="464823C7" w:rsidR="00086625" w:rsidRDefault="0087397D" w:rsidP="008E5AE5">
      <w:pPr>
        <w:jc w:val="both"/>
        <w:rPr>
          <w:b/>
          <w:bCs/>
        </w:rPr>
      </w:pPr>
      <w:r>
        <w:rPr>
          <w:b/>
          <w:bCs/>
        </w:rPr>
        <w:t>1. Après avoir recopié la formule semi-développée de chacune des quatre molécules représentées ci-dessus, identifier le groupe caractéristique présent et l’associer à une famille de composés.</w:t>
      </w:r>
    </w:p>
    <w:p w14:paraId="4221CA2B" w14:textId="77777777" w:rsidR="00086625" w:rsidRDefault="00086625"/>
    <w:tbl>
      <w:tblPr>
        <w:tblW w:w="1020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1"/>
        <w:gridCol w:w="8568"/>
      </w:tblGrid>
      <w:tr w:rsidR="00086625" w14:paraId="768F8FAE" w14:textId="77777777">
        <w:trPr>
          <w:trHeight w:val="565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555B900" w14:textId="77777777" w:rsidR="00086625" w:rsidRDefault="0087397D">
            <w:pPr>
              <w:pStyle w:val="Contenudetableau"/>
            </w:pPr>
            <w:r>
              <w:t>Groupe :</w:t>
            </w:r>
          </w:p>
        </w:tc>
        <w:tc>
          <w:tcPr>
            <w:tcW w:w="8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7059F" w14:textId="77777777" w:rsidR="00086625" w:rsidRDefault="0087397D">
            <w:pPr>
              <w:pStyle w:val="Contenudetableau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1368BB3C" wp14:editId="33E398E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370830" cy="1613535"/>
                  <wp:effectExtent l="0" t="0" r="0" b="0"/>
                  <wp:wrapTopAndBottom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625" w14:paraId="42CE32A8" w14:textId="77777777">
        <w:trPr>
          <w:trHeight w:val="1650"/>
        </w:trPr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880E21" w14:textId="77777777" w:rsidR="00086625" w:rsidRDefault="0087397D">
            <w:pPr>
              <w:pStyle w:val="Contenudetableau"/>
            </w:pPr>
            <w:r>
              <w:t xml:space="preserve">Formule </w:t>
            </w:r>
            <w:r>
              <w:t>semi-développée :</w:t>
            </w:r>
          </w:p>
        </w:tc>
        <w:tc>
          <w:tcPr>
            <w:tcW w:w="8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2F503" w14:textId="77777777" w:rsidR="00086625" w:rsidRDefault="00086625">
            <w:pPr>
              <w:pStyle w:val="Contenudetableau"/>
            </w:pPr>
          </w:p>
        </w:tc>
      </w:tr>
      <w:tr w:rsidR="00086625" w14:paraId="03BEA785" w14:textId="77777777">
        <w:trPr>
          <w:trHeight w:val="508"/>
        </w:trPr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</w:tcPr>
          <w:p w14:paraId="7B7A2434" w14:textId="77777777" w:rsidR="00086625" w:rsidRDefault="0087397D">
            <w:pPr>
              <w:pStyle w:val="Contenudetableau"/>
            </w:pPr>
            <w:r>
              <w:t>Famille :</w:t>
            </w:r>
          </w:p>
        </w:tc>
        <w:tc>
          <w:tcPr>
            <w:tcW w:w="8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E28B" w14:textId="77777777" w:rsidR="00086625" w:rsidRDefault="00086625">
            <w:pPr>
              <w:pStyle w:val="Contenudetableau"/>
            </w:pPr>
          </w:p>
        </w:tc>
      </w:tr>
    </w:tbl>
    <w:p w14:paraId="442D558F" w14:textId="77777777" w:rsidR="00086625" w:rsidRDefault="00086625"/>
    <w:p w14:paraId="1A382A4A" w14:textId="77777777" w:rsidR="00086625" w:rsidRDefault="0087397D">
      <w:pPr>
        <w:rPr>
          <w:b/>
          <w:bCs/>
        </w:rPr>
      </w:pPr>
      <w:r>
        <w:rPr>
          <w:b/>
          <w:bCs/>
        </w:rPr>
        <w:t>2. Justifier le nom donné à la propanone</w:t>
      </w:r>
    </w:p>
    <w:p w14:paraId="77BB1C77" w14:textId="77777777" w:rsidR="00086625" w:rsidRDefault="00086625"/>
    <w:p w14:paraId="603FFB49" w14:textId="77777777" w:rsidR="00086625" w:rsidRDefault="0087397D">
      <w:r>
        <w:t>→ La chaîne carbonée de cette molécule compte 3 atomes de carbone ⇒ préfixe "propan-"</w:t>
      </w:r>
    </w:p>
    <w:p w14:paraId="11981BAE" w14:textId="77777777" w:rsidR="00086625" w:rsidRDefault="0087397D">
      <w:r>
        <w:t xml:space="preserve">→ Le groupe carbonyle est lié à 2 atomes de carbone, c’est donc une cétone ⇒ suffixe </w:t>
      </w:r>
      <w:r>
        <w:t>"-one"</w:t>
      </w:r>
    </w:p>
    <w:p w14:paraId="136A94DE" w14:textId="77777777" w:rsidR="00086625" w:rsidRDefault="0087397D" w:rsidP="008E5AE5">
      <w:pPr>
        <w:jc w:val="both"/>
      </w:pPr>
      <w:r>
        <w:t>→ le carbone central est le seul sur lequel il est possible d’y avoir une fonction cétone, il n’est donc pas utile de préciser qu’il s’agit de propan-2-one</w:t>
      </w:r>
    </w:p>
    <w:p w14:paraId="7ADDB407" w14:textId="77777777" w:rsidR="00086625" w:rsidRDefault="00086625"/>
    <w:p w14:paraId="26507744" w14:textId="77777777" w:rsidR="00086625" w:rsidRDefault="0087397D">
      <w:pPr>
        <w:rPr>
          <w:b/>
          <w:bCs/>
        </w:rPr>
      </w:pPr>
      <w:r>
        <w:rPr>
          <w:b/>
          <w:bCs/>
        </w:rPr>
        <w:t>3. Établir le schéma de Lewis de la molécule de cyanure d’hydrogène de formule HCN et propos</w:t>
      </w:r>
      <w:r>
        <w:rPr>
          <w:b/>
          <w:bCs/>
        </w:rPr>
        <w:t>er une géométrie pour cette molécule</w:t>
      </w:r>
    </w:p>
    <w:p w14:paraId="77FC35F4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>On commence par réaliser la représentation de Lewis de chaque atome :</w:t>
      </w:r>
    </w:p>
    <w:tbl>
      <w:tblPr>
        <w:tblW w:w="102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86625" w14:paraId="0E01D936" w14:textId="77777777">
        <w:trPr>
          <w:trHeight w:val="33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AED212" w14:textId="77777777" w:rsidR="00086625" w:rsidRDefault="0087397D">
            <w:pPr>
              <w:pStyle w:val="Corpsdetext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Hydrogène 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BDBCE7" w14:textId="77777777" w:rsidR="00086625" w:rsidRDefault="0087397D">
            <w:pPr>
              <w:pStyle w:val="Contenudetableau"/>
              <w:jc w:val="center"/>
            </w:pPr>
            <w:r>
              <w:t>Carbone 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C4E1" w14:textId="77777777" w:rsidR="00086625" w:rsidRDefault="0087397D">
            <w:pPr>
              <w:pStyle w:val="Corpsdetext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Azote :</w:t>
            </w:r>
          </w:p>
        </w:tc>
      </w:tr>
      <w:tr w:rsidR="00086625" w14:paraId="6EADE367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F6AEA0" w14:textId="77777777" w:rsidR="00086625" w:rsidRDefault="0087397D">
            <w:pPr>
              <w:pStyle w:val="Corpsdetext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Z=1 → 1s</w:t>
            </w:r>
            <w:r>
              <w:rPr>
                <w:rFonts w:ascii="Arial" w:hAnsi="Arial"/>
                <w:vertAlign w:val="superscript"/>
              </w:rPr>
              <w:t>1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96314D" w14:textId="77777777" w:rsidR="00086625" w:rsidRDefault="0087397D">
            <w:pPr>
              <w:pStyle w:val="Corpsdetext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Z=6 → 1s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2s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2p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E3682" w14:textId="77777777" w:rsidR="00086625" w:rsidRDefault="0087397D">
            <w:pPr>
              <w:pStyle w:val="Corpsdetext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Z=7 → 1s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2s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 xml:space="preserve"> 2p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</w:tr>
      <w:tr w:rsidR="00086625" w14:paraId="00BA2C5A" w14:textId="77777777"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1FF9DFE1" w14:textId="77777777" w:rsidR="00086625" w:rsidRDefault="0087397D">
            <w:pPr>
              <w:pStyle w:val="Contenudetableau"/>
              <w:jc w:val="center"/>
            </w:pPr>
            <w:r>
              <w:rPr>
                <w:noProof/>
              </w:rPr>
              <w:drawing>
                <wp:inline distT="0" distB="0" distL="0" distR="0" wp14:anchorId="3D6EBBC7" wp14:editId="5C26888C">
                  <wp:extent cx="328930" cy="273050"/>
                  <wp:effectExtent l="0" t="0" r="0" b="0"/>
                  <wp:docPr id="2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14:paraId="500E7F26" w14:textId="77777777" w:rsidR="00086625" w:rsidRDefault="0087397D">
            <w:pPr>
              <w:pStyle w:val="Contenudetableau"/>
              <w:jc w:val="center"/>
            </w:pPr>
            <w:r>
              <w:rPr>
                <w:noProof/>
              </w:rPr>
              <w:drawing>
                <wp:inline distT="0" distB="0" distL="0" distR="0" wp14:anchorId="4D515919" wp14:editId="44D3DFAF">
                  <wp:extent cx="477520" cy="489585"/>
                  <wp:effectExtent l="0" t="0" r="0" b="0"/>
                  <wp:docPr id="3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0A86C" w14:textId="77777777" w:rsidR="00086625" w:rsidRDefault="0087397D">
            <w:pPr>
              <w:pStyle w:val="Contenudetableau"/>
              <w:jc w:val="center"/>
            </w:pPr>
            <w:r>
              <w:rPr>
                <w:noProof/>
              </w:rPr>
              <w:drawing>
                <wp:inline distT="0" distB="0" distL="0" distR="0" wp14:anchorId="0F3920FB" wp14:editId="1DB2FFF2">
                  <wp:extent cx="459105" cy="438785"/>
                  <wp:effectExtent l="0" t="0" r="0" b="0"/>
                  <wp:docPr id="4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442881" w14:textId="77777777" w:rsidR="00086625" w:rsidRDefault="00086625">
      <w:pPr>
        <w:pStyle w:val="Corpsdetexte"/>
      </w:pPr>
    </w:p>
    <w:p w14:paraId="2ED28BFF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 xml:space="preserve">La seule façon de relier tous les électrons </w:t>
      </w:r>
      <w:r>
        <w:rPr>
          <w:rFonts w:ascii="Arial" w:hAnsi="Arial"/>
        </w:rPr>
        <w:t>célibataires entre eux est le sché</w:t>
      </w:r>
      <w:r>
        <w:rPr>
          <w:noProof/>
        </w:rPr>
        <w:drawing>
          <wp:anchor distT="0" distB="0" distL="0" distR="0" simplePos="0" relativeHeight="6" behindDoc="0" locked="0" layoutInCell="1" allowOverlap="1" wp14:anchorId="7711BAAE" wp14:editId="7E33A842">
            <wp:simplePos x="0" y="0"/>
            <wp:positionH relativeFrom="column">
              <wp:posOffset>4224655</wp:posOffset>
            </wp:positionH>
            <wp:positionV relativeFrom="paragraph">
              <wp:posOffset>-14605</wp:posOffset>
            </wp:positionV>
            <wp:extent cx="2237740" cy="511175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ma suivant : </w:t>
      </w:r>
    </w:p>
    <w:p w14:paraId="5E517E47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>La molécule d’HCN a donc une géométrie linéaire</w:t>
      </w:r>
    </w:p>
    <w:p w14:paraId="776643AB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  <w:b/>
          <w:bCs/>
        </w:rPr>
        <w:t>4. Expliquer pourquoi les ions thiocyanate ne peuvent pas être dosés directement par spectrophotométrie UV-visible. Indiquer l’intérêt de les faire réagir avec</w:t>
      </w:r>
      <w:r>
        <w:rPr>
          <w:rFonts w:ascii="Arial" w:hAnsi="Arial"/>
          <w:b/>
          <w:bCs/>
        </w:rPr>
        <w:t xml:space="preserve"> les ions </w:t>
      </w:r>
      <w:r>
        <w:rPr>
          <w:rFonts w:ascii="Arial" w:hAnsi="Arial"/>
          <w:b/>
          <w:bCs/>
        </w:rPr>
        <w:t>Fe</w:t>
      </w:r>
      <w:r>
        <w:rPr>
          <w:rFonts w:ascii="Arial" w:hAnsi="Arial"/>
          <w:b/>
          <w:bCs/>
          <w:vertAlign w:val="superscript"/>
        </w:rPr>
        <w:t>3+</w:t>
      </w:r>
      <w:r>
        <w:rPr>
          <w:rFonts w:ascii="Arial" w:hAnsi="Arial"/>
          <w:b/>
          <w:bCs/>
        </w:rPr>
        <w:t>.</w:t>
      </w:r>
    </w:p>
    <w:p w14:paraId="293EDF6C" w14:textId="77777777" w:rsidR="00086625" w:rsidRDefault="0087397D" w:rsidP="008E5AE5">
      <w:pPr>
        <w:pStyle w:val="Corpsdetexte"/>
        <w:jc w:val="both"/>
        <w:rPr>
          <w:rFonts w:ascii="Arial" w:hAnsi="Arial"/>
        </w:rPr>
      </w:pPr>
      <w:r>
        <w:rPr>
          <w:rFonts w:ascii="Arial" w:hAnsi="Arial"/>
        </w:rPr>
        <w:t xml:space="preserve">Le document indique </w:t>
      </w:r>
      <w:r>
        <w:rPr>
          <w:rFonts w:ascii="Arial" w:hAnsi="Arial"/>
          <w:i/>
          <w:iCs/>
        </w:rPr>
        <w:t>"Les ions thiocyanate présents dans l’échantillon étant incolores et n’absorbant pas dans le proche ultraviolet"</w:t>
      </w:r>
      <w:r>
        <w:rPr>
          <w:rFonts w:ascii="Arial" w:hAnsi="Arial"/>
        </w:rPr>
        <w:t xml:space="preserve">. Il n’est donc pas possible de les détecter par spectrophotométrie puisqu’ils n’absorbent ni la </w:t>
      </w:r>
      <w:r>
        <w:rPr>
          <w:rFonts w:ascii="Arial" w:hAnsi="Arial"/>
        </w:rPr>
        <w:t>lumière visible, ni le proche ultraviolet.</w:t>
      </w:r>
    </w:p>
    <w:p w14:paraId="6C0E0614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>En revanche en les faisant réagir avec des ions Fe</w:t>
      </w:r>
      <w:r>
        <w:rPr>
          <w:rFonts w:ascii="Arial" w:hAnsi="Arial"/>
          <w:vertAlign w:val="superscript"/>
        </w:rPr>
        <w:t>3+</w:t>
      </w:r>
      <w:r>
        <w:rPr>
          <w:rFonts w:ascii="Arial" w:hAnsi="Arial"/>
        </w:rPr>
        <w:t>, on forme l’ion Fe(SCN)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qui lui est coloré, ce qui permet de mesurer sa concentration en solution par spectrophotométrie.</w:t>
      </w:r>
    </w:p>
    <w:p w14:paraId="42D20D99" w14:textId="77777777" w:rsidR="00F01F98" w:rsidRDefault="00F01F98">
      <w:pPr>
        <w:rPr>
          <w:b/>
          <w:bCs/>
        </w:rPr>
      </w:pPr>
      <w:r>
        <w:rPr>
          <w:b/>
          <w:bCs/>
        </w:rPr>
        <w:br w:type="page"/>
      </w:r>
    </w:p>
    <w:p w14:paraId="710C10EB" w14:textId="32460246" w:rsidR="00086625" w:rsidRDefault="0087397D">
      <w:pPr>
        <w:pStyle w:val="Corpsdetext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5. Indiquer la verrerie nécessaire p</w:t>
      </w:r>
      <w:r>
        <w:rPr>
          <w:rFonts w:ascii="Arial" w:hAnsi="Arial"/>
          <w:b/>
          <w:bCs/>
        </w:rPr>
        <w:t>our préparer 50,0 mL de solution S</w:t>
      </w:r>
      <w:r>
        <w:rPr>
          <w:rFonts w:ascii="Arial" w:hAnsi="Arial"/>
          <w:b/>
          <w:bCs/>
          <w:vertAlign w:val="subscript"/>
        </w:rPr>
        <w:t>2</w:t>
      </w:r>
      <w:r>
        <w:rPr>
          <w:rFonts w:ascii="Arial" w:hAnsi="Arial"/>
          <w:b/>
          <w:bCs/>
        </w:rPr>
        <w:t xml:space="preserve"> à partir de la solution S</w:t>
      </w:r>
      <w:r>
        <w:rPr>
          <w:rFonts w:ascii="Arial" w:hAnsi="Arial"/>
          <w:b/>
          <w:bCs/>
          <w:vertAlign w:val="subscript"/>
        </w:rPr>
        <w:t>0</w:t>
      </w:r>
      <w:r>
        <w:rPr>
          <w:rFonts w:ascii="Arial" w:hAnsi="Arial"/>
          <w:b/>
          <w:bCs/>
        </w:rPr>
        <w:t xml:space="preserve"> en justifiant votre raisonnement.</w:t>
      </w:r>
    </w:p>
    <w:p w14:paraId="236223B8" w14:textId="77777777" w:rsidR="00B730F9" w:rsidRDefault="00B730F9" w:rsidP="00B730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Au cours d’une dilution, la quantité de matière de soluté se conserve n(mère) = n(fille) </w:t>
      </w:r>
    </w:p>
    <w:p w14:paraId="30CE0140" w14:textId="321832E3" w:rsidR="00B730F9" w:rsidRDefault="00B730F9" w:rsidP="00B730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soit C(mère)</w:t>
      </w:r>
      <w:r>
        <w:rPr>
          <w:rFonts w:cs="Arial"/>
          <w:lang w:eastAsia="en-US"/>
        </w:rPr>
        <w:t>.</w:t>
      </w:r>
      <w:r>
        <w:rPr>
          <w:rFonts w:cs="Arial"/>
          <w:lang w:eastAsia="en-US"/>
        </w:rPr>
        <w:t>V(mère) = C(fille)</w:t>
      </w:r>
      <w:r>
        <w:rPr>
          <w:rFonts w:cs="Arial"/>
          <w:lang w:eastAsia="en-US"/>
        </w:rPr>
        <w:t>.</w:t>
      </w:r>
      <w:r>
        <w:rPr>
          <w:rFonts w:cs="Arial"/>
          <w:lang w:eastAsia="en-US"/>
        </w:rPr>
        <w:t>V(fille) avec C = concentration en quantité de matière (mol/L) et V = volume en L</w:t>
      </w:r>
    </w:p>
    <w:p w14:paraId="6A12C219" w14:textId="269CF503" w:rsidR="00B730F9" w:rsidRDefault="00B730F9" w:rsidP="00B730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26"/>
        <w:rPr>
          <w:rFonts w:cs="Arial"/>
          <w:lang w:eastAsia="en-US"/>
        </w:rPr>
      </w:pPr>
      <w:r>
        <w:rPr>
          <w:rFonts w:cs="Arial"/>
          <w:lang w:eastAsia="en-US"/>
        </w:rPr>
        <w:t xml:space="preserve">Ainsi V(mère) = C(fille) </w:t>
      </w:r>
      <w:r>
        <w:rPr>
          <w:rFonts w:cs="Arial"/>
          <w:lang w:eastAsia="en-US"/>
        </w:rPr>
        <w:t xml:space="preserve">. </w:t>
      </w:r>
      <w:r>
        <w:rPr>
          <w:rFonts w:cs="Arial"/>
          <w:lang w:eastAsia="en-US"/>
        </w:rPr>
        <w:t>V(fille) / C(mère)</w:t>
      </w:r>
    </w:p>
    <w:p w14:paraId="6CAD2EB8" w14:textId="54F78E0A" w:rsidR="00B730F9" w:rsidRDefault="00B730F9" w:rsidP="00B730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426"/>
        <w:rPr>
          <w:rFonts w:cs="Arial"/>
        </w:rPr>
      </w:pPr>
      <w:r>
        <w:rPr>
          <w:rFonts w:cs="Arial"/>
          <w:lang w:eastAsia="en-US"/>
        </w:rPr>
        <w:t xml:space="preserve">         V(mère) = </w:t>
      </w:r>
      <w:r w:rsidRPr="002B43FF">
        <w:rPr>
          <w:rFonts w:cs="Arial"/>
        </w:rPr>
        <w:t>1,0×10</w:t>
      </w:r>
      <w:r w:rsidRPr="002B43FF">
        <w:rPr>
          <w:rFonts w:cs="Arial"/>
          <w:vertAlign w:val="superscript"/>
        </w:rPr>
        <w:t>-4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x 50.10</w:t>
      </w:r>
      <w:r>
        <w:rPr>
          <w:rFonts w:cs="Arial"/>
          <w:vertAlign w:val="superscript"/>
        </w:rPr>
        <w:t>-3</w:t>
      </w:r>
      <w:r>
        <w:rPr>
          <w:rFonts w:cs="Arial"/>
        </w:rPr>
        <w:t xml:space="preserve"> / </w:t>
      </w:r>
      <w:r w:rsidRPr="002B43FF">
        <w:rPr>
          <w:rFonts w:cs="Arial"/>
        </w:rPr>
        <w:t>2,0×10</w:t>
      </w:r>
      <w:r w:rsidRPr="002B43FF">
        <w:rPr>
          <w:rFonts w:cs="Arial"/>
          <w:vertAlign w:val="superscript"/>
        </w:rPr>
        <w:t>-4</w:t>
      </w:r>
      <w:r>
        <w:rPr>
          <w:rFonts w:cs="Arial"/>
        </w:rPr>
        <w:t xml:space="preserve"> = 0,025 L soit 25 mL</w:t>
      </w:r>
    </w:p>
    <w:p w14:paraId="1CD4356B" w14:textId="4AE6296D" w:rsidR="00086625" w:rsidRDefault="00B730F9" w:rsidP="00B730F9">
      <w:pPr>
        <w:pStyle w:val="Corpsdetexte"/>
        <w:rPr>
          <w:rFonts w:ascii="Arial" w:hAnsi="Arial"/>
        </w:rPr>
      </w:pPr>
      <w:r>
        <w:rPr>
          <w:rFonts w:ascii="Arial" w:hAnsi="Arial" w:cs="Arial"/>
        </w:rPr>
        <w:t>On utilise une pipette jaugée de 25,0 mL.</w:t>
      </w:r>
    </w:p>
    <w:tbl>
      <w:tblPr>
        <w:tblW w:w="1021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23"/>
        <w:gridCol w:w="6589"/>
      </w:tblGrid>
      <w:tr w:rsidR="00086625" w14:paraId="3B20F8D4" w14:textId="77777777">
        <w:tc>
          <w:tcPr>
            <w:tcW w:w="3623" w:type="dxa"/>
          </w:tcPr>
          <w:p w14:paraId="14121840" w14:textId="77777777" w:rsidR="00086625" w:rsidRDefault="0087397D">
            <w:pPr>
              <w:pStyle w:val="Contenudetableau"/>
            </w:pPr>
            <w:r>
              <w:t>Matériel :</w:t>
            </w:r>
          </w:p>
          <w:p w14:paraId="15390294" w14:textId="77777777" w:rsidR="00086625" w:rsidRDefault="0087397D">
            <w:pPr>
              <w:pStyle w:val="Contenudetableau"/>
            </w:pPr>
            <w:r>
              <w:t>→ bécher 50 mL</w:t>
            </w:r>
          </w:p>
          <w:p w14:paraId="4724AB80" w14:textId="77777777" w:rsidR="00086625" w:rsidRDefault="0087397D">
            <w:pPr>
              <w:pStyle w:val="Contenudetableau"/>
            </w:pPr>
            <w:r>
              <w:t>→ pipette jaugée 25mL + propipette</w:t>
            </w:r>
            <w:r>
              <w:br/>
              <w:t>→ fiole jaugée 50mL + bouchon</w:t>
            </w:r>
          </w:p>
        </w:tc>
        <w:tc>
          <w:tcPr>
            <w:tcW w:w="6589" w:type="dxa"/>
            <w:tcBorders>
              <w:left w:val="single" w:sz="2" w:space="0" w:color="000000"/>
            </w:tcBorders>
          </w:tcPr>
          <w:p w14:paraId="64D42F21" w14:textId="77777777" w:rsidR="00086625" w:rsidRDefault="0087397D">
            <w:pPr>
              <w:pStyle w:val="Corpsdetex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Protocole : </w:t>
            </w:r>
            <w:r>
              <w:rPr>
                <w:rFonts w:ascii="Arial" w:hAnsi="Arial"/>
              </w:rPr>
              <w:br/>
              <w:t>→ Verser environ 30mL de solution S</w:t>
            </w:r>
            <w:r>
              <w:rPr>
                <w:rFonts w:ascii="Arial" w:hAnsi="Arial"/>
                <w:vertAlign w:val="subscript"/>
              </w:rPr>
              <w:t>0</w:t>
            </w:r>
            <w:r>
              <w:rPr>
                <w:rFonts w:ascii="Arial" w:hAnsi="Arial"/>
              </w:rPr>
              <w:t xml:space="preserve"> dans un b</w:t>
            </w:r>
            <w:r>
              <w:rPr>
                <w:rFonts w:ascii="Arial" w:hAnsi="Arial"/>
              </w:rPr>
              <w:t>écher de 50mL</w:t>
            </w:r>
            <w:r>
              <w:rPr>
                <w:rFonts w:ascii="Arial" w:hAnsi="Arial"/>
              </w:rPr>
              <w:br/>
              <w:t>→ prélever à l’aide d’une pipette jaugée 25mL de solution S</w:t>
            </w:r>
            <w:r>
              <w:rPr>
                <w:rFonts w:ascii="Arial" w:hAnsi="Arial"/>
                <w:vertAlign w:val="subscript"/>
              </w:rPr>
              <w:t>0</w:t>
            </w:r>
            <w:r>
              <w:rPr>
                <w:rFonts w:ascii="Arial" w:hAnsi="Arial"/>
              </w:rPr>
              <w:t>, puis la verser dans une fiole jaugée de 50mL</w:t>
            </w:r>
            <w:r>
              <w:rPr>
                <w:rFonts w:ascii="Arial" w:hAnsi="Arial"/>
              </w:rPr>
              <w:br/>
              <w:t>→ Compléter en eau distillée jusqu’au trait de jauge</w:t>
            </w:r>
            <w:r>
              <w:rPr>
                <w:rFonts w:ascii="Arial" w:hAnsi="Arial"/>
              </w:rPr>
              <w:br/>
              <w:t>→ boucher et agiter</w:t>
            </w:r>
          </w:p>
        </w:tc>
      </w:tr>
    </w:tbl>
    <w:p w14:paraId="7AF6AFCF" w14:textId="77777777" w:rsidR="00086625" w:rsidRDefault="0087397D">
      <w:pPr>
        <w:pStyle w:val="Corpsdetext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6. Après avoir rappelé l’expression de la loi de </w:t>
      </w:r>
      <w:r>
        <w:rPr>
          <w:rFonts w:ascii="Arial" w:hAnsi="Arial"/>
          <w:b/>
          <w:bCs/>
        </w:rPr>
        <w:t>Beer-Lambert en indiquant les unités des grandeurs, déterminer si les résultats expérimentaux obtenus sont en accord avec cette loi.</w:t>
      </w:r>
    </w:p>
    <w:p w14:paraId="64C38D63" w14:textId="18FAFA7B" w:rsidR="00086625" w:rsidRDefault="0087397D" w:rsidP="0087397D">
      <w:pPr>
        <w:pStyle w:val="Corpsdetexte"/>
        <w:jc w:val="both"/>
        <w:rPr>
          <w:rFonts w:ascii="Arial" w:hAnsi="Arial"/>
        </w:rPr>
      </w:pPr>
      <w:r>
        <w:rPr>
          <w:rFonts w:ascii="Arial" w:hAnsi="Arial"/>
        </w:rPr>
        <w:t>La loi de Beer-Lambert indique que l’absorbance d’une solution est proportionnelle à la concentration de l’espèce colorée d</w:t>
      </w:r>
      <w:r>
        <w:rPr>
          <w:rFonts w:ascii="Arial" w:hAnsi="Arial"/>
        </w:rPr>
        <w:t>osée. Le graphique précédent montre que les points de mesure (correspondant à l’absorbance des solutions en fonction de leur concentration) sont correctement alignés sur une droite qui passe par l’origine du repère. On peut donc considérer qu’il y a une re</w:t>
      </w:r>
      <w:r>
        <w:rPr>
          <w:rFonts w:ascii="Arial" w:hAnsi="Arial"/>
        </w:rPr>
        <w:t>lation de proportionnalité entre concentration en ion Fe(SCN)</w:t>
      </w:r>
      <w:r>
        <w:rPr>
          <w:rFonts w:ascii="Arial" w:hAnsi="Arial"/>
          <w:vertAlign w:val="superscript"/>
        </w:rPr>
        <w:t>2+</w:t>
      </w:r>
      <w:r>
        <w:rPr>
          <w:rFonts w:ascii="Arial" w:hAnsi="Arial"/>
        </w:rPr>
        <w:t xml:space="preserve"> et absorbance, </w:t>
      </w:r>
      <w:r>
        <w:rPr>
          <w:rFonts w:ascii="Arial" w:hAnsi="Arial"/>
        </w:rPr>
        <w:t>par conséquent que la loi de Beer-Lambert est respectée.</w:t>
      </w:r>
    </w:p>
    <w:p w14:paraId="3D13EC1A" w14:textId="77777777" w:rsidR="00086625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 xml:space="preserve">On a la relation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k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=3,89×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avec A sans unité, C en en µmol.L</w:t>
      </w:r>
      <w:r>
        <w:rPr>
          <w:rFonts w:ascii="Arial" w:hAnsi="Arial"/>
          <w:vertAlign w:val="superscript"/>
        </w:rPr>
        <w:t xml:space="preserve">-1 </w:t>
      </w:r>
      <w:r>
        <w:rPr>
          <w:rFonts w:ascii="Arial" w:hAnsi="Arial"/>
        </w:rPr>
        <w:t xml:space="preserve"> et k en L.µmol</w:t>
      </w:r>
      <w:r>
        <w:rPr>
          <w:rFonts w:ascii="Arial" w:hAnsi="Arial"/>
          <w:vertAlign w:val="superscript"/>
        </w:rPr>
        <w:t>-1</w:t>
      </w:r>
      <w:r>
        <w:rPr>
          <w:rFonts w:ascii="Arial" w:hAnsi="Arial"/>
        </w:rPr>
        <w:t>.</w:t>
      </w:r>
    </w:p>
    <w:p w14:paraId="405572D1" w14:textId="77777777" w:rsidR="00086625" w:rsidRDefault="0087397D">
      <w:pPr>
        <w:pStyle w:val="Corpsdetexte"/>
      </w:pPr>
      <w:r>
        <w:rPr>
          <w:rFonts w:ascii="Arial" w:hAnsi="Arial"/>
          <w:b/>
          <w:bCs/>
        </w:rPr>
        <w:t>7. Déterminer la concentration en quantité de matière des ions Fe(</w:t>
      </w:r>
      <w:r>
        <w:rPr>
          <w:rFonts w:ascii="Arial" w:hAnsi="Arial"/>
          <w:b/>
          <w:bCs/>
        </w:rPr>
        <w:t>SCN</w:t>
      </w:r>
      <w:r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  <w:vertAlign w:val="superscript"/>
        </w:rPr>
        <w:t xml:space="preserve">2+ </w:t>
      </w:r>
      <w:r>
        <w:rPr>
          <w:rFonts w:ascii="Arial" w:hAnsi="Arial"/>
          <w:b/>
          <w:bCs/>
        </w:rPr>
        <w:t>dans la solution S’. En déduire leur quantité de matière dans la solution de volume V = 10,0 mL.</w:t>
      </w:r>
    </w:p>
    <w:p w14:paraId="0384C869" w14:textId="77777777" w:rsidR="00F01F98" w:rsidRDefault="0087397D">
      <w:pPr>
        <w:pStyle w:val="Corpsdetexte"/>
        <w:rPr>
          <w:rFonts w:ascii="Arial" w:hAnsi="Arial"/>
        </w:rPr>
      </w:pPr>
      <w:r>
        <w:rPr>
          <w:rFonts w:ascii="Arial" w:hAnsi="Arial"/>
        </w:rPr>
        <w:t xml:space="preserve">La solution a une absorbance A=0,65. Comme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=3,89×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</w:t>
      </w:r>
    </w:p>
    <w:p w14:paraId="29229FCF" w14:textId="0F607C14" w:rsidR="00086625" w:rsidRDefault="0087397D">
      <w:pPr>
        <w:pStyle w:val="Corpsdetexte"/>
      </w:pPr>
      <w:r>
        <w:rPr>
          <w:rFonts w:ascii="Arial" w:hAnsi="Arial"/>
        </w:rPr>
        <w:t xml:space="preserve">alors 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'</m:t>
            </m:r>
          </m:num>
          <m:den>
            <m:r>
              <w:rPr>
                <w:rFonts w:ascii="Cambria Math" w:hAnsi="Cambria Math"/>
              </w:rPr>
              <m:t>3,89×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0,65</m:t>
            </m:r>
          </m:num>
          <m:den>
            <m:r>
              <w:rPr>
                <w:rFonts w:ascii="Cambria Math" w:hAnsi="Cambria Math"/>
              </w:rPr>
              <m:t>3,</m:t>
            </m:r>
            <m:r>
              <w:rPr>
                <w:rFonts w:ascii="Cambria Math" w:hAnsi="Cambria Math"/>
              </w:rPr>
              <m:t>89×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=1,67×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µ</m:t>
        </m:r>
        <m:r>
          <w:rPr>
            <w:rFonts w:ascii="Cambria Math" w:hAnsi="Cambria Math"/>
          </w:rPr>
          <m:t>mol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</m:oMath>
      <w:r>
        <w:rPr>
          <w:rFonts w:ascii="Arial" w:hAnsi="Arial"/>
        </w:rPr>
        <w:t>.</w:t>
      </w:r>
    </w:p>
    <w:p w14:paraId="3059808C" w14:textId="77777777" w:rsidR="00086625" w:rsidRDefault="0087397D">
      <w:pPr>
        <w:pStyle w:val="Corpsdetexte"/>
      </w:pPr>
      <w:r>
        <w:rPr>
          <w:rFonts w:ascii="Arial" w:hAnsi="Arial"/>
        </w:rPr>
        <w:t xml:space="preserve">On détermine ensuite la quantité de matière correspondante pour un volume de 10mL : </w:t>
      </w:r>
    </w:p>
    <w:p w14:paraId="74A5451C" w14:textId="77777777" w:rsidR="00086625" w:rsidRDefault="0087397D">
      <w:pPr>
        <w:pStyle w:val="Corpsdetexte"/>
      </w:pPr>
      <m:oMathPara>
        <m:oMath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</w:rPr>
            <m:t>’=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’×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=1,67×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×10×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=1,67×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mol</m:t>
          </m:r>
          <m:r>
            <w:rPr>
              <w:rFonts w:ascii="Cambria Math" w:hAnsi="Cambria Math"/>
            </w:rPr>
            <m:t>=1,67µ</m:t>
          </m:r>
          <m:r>
            <w:rPr>
              <w:rFonts w:ascii="Cambria Math" w:hAnsi="Cambria Math"/>
            </w:rPr>
            <m:t>mol</m:t>
          </m:r>
        </m:oMath>
      </m:oMathPara>
    </w:p>
    <w:p w14:paraId="0359439A" w14:textId="27D3D488" w:rsidR="00086625" w:rsidRDefault="0087397D">
      <w:pPr>
        <w:pStyle w:val="Corpsdetexte"/>
        <w:rPr>
          <w:b/>
          <w:bCs/>
        </w:rPr>
      </w:pPr>
      <w:r>
        <w:rPr>
          <w:b/>
          <w:bCs/>
        </w:rPr>
        <w:t xml:space="preserve">8. Recopier et compléter le tableau d’avancement ci-dessous. En déduire la relation </w:t>
      </w:r>
      <w:r>
        <w:rPr>
          <w:b/>
          <w:bCs/>
        </w:rPr>
        <w:t xml:space="preserve">entre la quantité de matière des ions </w:t>
      </w:r>
      <w:r>
        <w:rPr>
          <w:b/>
          <w:bCs/>
        </w:rPr>
        <w:t>Fe(SCN)</w:t>
      </w:r>
      <w:r>
        <w:rPr>
          <w:b/>
          <w:bCs/>
          <w:vertAlign w:val="superscript"/>
        </w:rPr>
        <w:t>2+</w:t>
      </w:r>
      <w:r>
        <w:rPr>
          <w:b/>
          <w:bCs/>
        </w:rPr>
        <w:t xml:space="preserve"> à la fin de la transformation et la quantité de matière en ions SCN</w:t>
      </w:r>
      <w:r>
        <w:rPr>
          <w:b/>
          <w:bCs/>
          <w:vertAlign w:val="superscript"/>
        </w:rPr>
        <w:t>-</w:t>
      </w:r>
      <w:r>
        <w:rPr>
          <w:b/>
          <w:bCs/>
        </w:rPr>
        <w:t xml:space="preserve"> initialement présente dans la solution.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0"/>
        <w:gridCol w:w="2093"/>
        <w:gridCol w:w="2081"/>
        <w:gridCol w:w="2074"/>
        <w:gridCol w:w="2094"/>
      </w:tblGrid>
      <w:tr w:rsidR="00B730F9" w:rsidRPr="00B730F9" w14:paraId="1819F738" w14:textId="77777777" w:rsidTr="00EE0314"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0412F" w14:textId="77777777" w:rsidR="00B730F9" w:rsidRPr="00B730F9" w:rsidRDefault="00B730F9" w:rsidP="00EE0314">
            <w:pPr>
              <w:rPr>
                <w:rFonts w:cs="Arial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71BB" w14:textId="77777777" w:rsidR="00B730F9" w:rsidRPr="00B730F9" w:rsidRDefault="00B730F9" w:rsidP="00EE0314">
            <w:pPr>
              <w:rPr>
                <w:rFonts w:cs="Arial"/>
              </w:rPr>
            </w:pPr>
          </w:p>
        </w:tc>
        <w:tc>
          <w:tcPr>
            <w:tcW w:w="6364" w:type="dxa"/>
            <w:gridSpan w:val="3"/>
            <w:tcBorders>
              <w:left w:val="single" w:sz="4" w:space="0" w:color="auto"/>
            </w:tcBorders>
            <w:vAlign w:val="center"/>
          </w:tcPr>
          <w:p w14:paraId="4274DB9D" w14:textId="77777777" w:rsidR="00B730F9" w:rsidRPr="00B730F9" w:rsidRDefault="00B730F9" w:rsidP="00EE0314">
            <w:pPr>
              <w:rPr>
                <w:rFonts w:cs="Arial"/>
              </w:rPr>
            </w:pPr>
            <w:r w:rsidRPr="00B730F9">
              <w:rPr>
                <w:rFonts w:cs="Arial"/>
                <w:lang w:eastAsia="en-US"/>
              </w:rPr>
              <w:t xml:space="preserve">       </w:t>
            </w:r>
            <m:oMath>
              <m:r>
                <w:rPr>
                  <w:rFonts w:ascii="Cambria Math" w:hAnsi="Cambria Math" w:cs="Arial"/>
                  <w:lang w:eastAsia="en-US"/>
                </w:rPr>
                <m:t xml:space="preserve">   SC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-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           +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3+</m:t>
                  </m:r>
                </m:sup>
              </m:sSubSup>
              <m:r>
                <w:rPr>
                  <w:rFonts w:ascii="Cambria Math" w:hAnsi="Cambria Math" w:cs="Arial"/>
                  <w:lang w:eastAsia="en-US"/>
                </w:rPr>
                <m:t xml:space="preserve">                         →      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(aq)</m:t>
                  </m:r>
                </m:sub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bSup>
            </m:oMath>
          </w:p>
        </w:tc>
      </w:tr>
      <w:tr w:rsidR="00B730F9" w:rsidRPr="00B730F9" w14:paraId="331FD80A" w14:textId="77777777" w:rsidTr="00EE0314">
        <w:tc>
          <w:tcPr>
            <w:tcW w:w="2121" w:type="dxa"/>
            <w:tcBorders>
              <w:top w:val="single" w:sz="4" w:space="0" w:color="auto"/>
            </w:tcBorders>
          </w:tcPr>
          <w:p w14:paraId="372DE960" w14:textId="77777777" w:rsidR="00B730F9" w:rsidRPr="00B730F9" w:rsidRDefault="00B730F9" w:rsidP="00EE0314">
            <w:pPr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État du système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75ECD08" w14:textId="77777777" w:rsidR="00B730F9" w:rsidRPr="00B730F9" w:rsidRDefault="00B730F9" w:rsidP="00EE0314">
            <w:pPr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Avancement (en mol)</w:t>
            </w:r>
          </w:p>
        </w:tc>
        <w:tc>
          <w:tcPr>
            <w:tcW w:w="2121" w:type="dxa"/>
          </w:tcPr>
          <w:p w14:paraId="0AEC9EDA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  <w:i/>
              </w:rPr>
              <w:t>n</w:t>
            </w:r>
            <w:r w:rsidRPr="00B730F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SCN</m:t>
                  </m:r>
                </m:e>
                <m:sup>
                  <m:r>
                    <w:rPr>
                      <w:rFonts w:ascii="Cambria Math" w:hAnsi="Cambria Math" w:cs="Arial"/>
                    </w:rPr>
                    <m:t>-</m:t>
                  </m:r>
                </m:sup>
              </m:sSup>
            </m:oMath>
            <w:r w:rsidRPr="00B730F9">
              <w:rPr>
                <w:rFonts w:eastAsia="Times New Roman" w:cs="Arial"/>
              </w:rPr>
              <w:t>)</w:t>
            </w:r>
          </w:p>
        </w:tc>
        <w:tc>
          <w:tcPr>
            <w:tcW w:w="2121" w:type="dxa"/>
          </w:tcPr>
          <w:p w14:paraId="3296B6E3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  <w:i/>
              </w:rPr>
              <w:t>n</w:t>
            </w:r>
            <w:r w:rsidRPr="00B730F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Fe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3+</m:t>
                  </m:r>
                </m:sup>
              </m:sSup>
            </m:oMath>
            <w:r w:rsidRPr="00B730F9">
              <w:rPr>
                <w:rFonts w:eastAsia="Times New Roman" w:cs="Arial"/>
              </w:rPr>
              <w:t>)</w:t>
            </w:r>
          </w:p>
        </w:tc>
        <w:tc>
          <w:tcPr>
            <w:tcW w:w="2122" w:type="dxa"/>
          </w:tcPr>
          <w:p w14:paraId="5AF2E3F3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  <w:i/>
              </w:rPr>
              <w:t>n</w:t>
            </w:r>
            <w:r w:rsidRPr="00B730F9">
              <w:rPr>
                <w:rFonts w:eastAsia="Times New Roman" w:cs="Arial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en-US"/>
                    </w:rPr>
                    <m:t>Fe(SCN)</m:t>
                  </m:r>
                </m:e>
                <m:sup>
                  <m:r>
                    <w:rPr>
                      <w:rFonts w:ascii="Cambria Math" w:hAnsi="Cambria Math" w:cs="Arial"/>
                      <w:lang w:eastAsia="en-US"/>
                    </w:rPr>
                    <m:t>2+</m:t>
                  </m:r>
                </m:sup>
              </m:sSup>
            </m:oMath>
            <w:r w:rsidRPr="00B730F9">
              <w:rPr>
                <w:rFonts w:eastAsia="Times New Roman" w:cs="Arial"/>
              </w:rPr>
              <w:t>)</w:t>
            </w:r>
          </w:p>
        </w:tc>
      </w:tr>
      <w:tr w:rsidR="00B730F9" w:rsidRPr="00B730F9" w14:paraId="25D469CC" w14:textId="77777777" w:rsidTr="00EE0314">
        <w:tc>
          <w:tcPr>
            <w:tcW w:w="2121" w:type="dxa"/>
          </w:tcPr>
          <w:p w14:paraId="67AFCDA6" w14:textId="77777777" w:rsidR="00B730F9" w:rsidRPr="00B730F9" w:rsidRDefault="00B730F9" w:rsidP="00EE0314">
            <w:pPr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État initial</w:t>
            </w:r>
          </w:p>
        </w:tc>
        <w:tc>
          <w:tcPr>
            <w:tcW w:w="2121" w:type="dxa"/>
          </w:tcPr>
          <w:p w14:paraId="5E714739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x = 0</w:t>
            </w:r>
          </w:p>
        </w:tc>
        <w:tc>
          <w:tcPr>
            <w:tcW w:w="2121" w:type="dxa"/>
          </w:tcPr>
          <w:p w14:paraId="3AC64174" w14:textId="64EEDCB9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cs="Arial"/>
              </w:rPr>
              <w:t>1,67</w:t>
            </w:r>
            <w:r w:rsidR="00F01F98">
              <w:rPr>
                <w:rFonts w:cs="Arial"/>
              </w:rPr>
              <w:t>×</w:t>
            </w:r>
            <w:r w:rsidRPr="00B730F9">
              <w:rPr>
                <w:rFonts w:cs="Arial"/>
              </w:rPr>
              <w:t>10</w:t>
            </w:r>
            <w:r w:rsidRPr="00B730F9">
              <w:rPr>
                <w:rFonts w:cs="Arial"/>
                <w:vertAlign w:val="superscript"/>
              </w:rPr>
              <w:t>-6</w:t>
            </w:r>
          </w:p>
        </w:tc>
        <w:tc>
          <w:tcPr>
            <w:tcW w:w="2121" w:type="dxa"/>
          </w:tcPr>
          <w:p w14:paraId="62C9E09F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excès</w:t>
            </w:r>
          </w:p>
        </w:tc>
        <w:tc>
          <w:tcPr>
            <w:tcW w:w="2122" w:type="dxa"/>
          </w:tcPr>
          <w:p w14:paraId="75BB19A9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cs="Arial"/>
              </w:rPr>
              <w:t>0</w:t>
            </w:r>
          </w:p>
        </w:tc>
      </w:tr>
      <w:tr w:rsidR="00B730F9" w:rsidRPr="00B730F9" w14:paraId="2FBCD491" w14:textId="77777777" w:rsidTr="00EE0314">
        <w:tc>
          <w:tcPr>
            <w:tcW w:w="2121" w:type="dxa"/>
          </w:tcPr>
          <w:p w14:paraId="60EB8542" w14:textId="77777777" w:rsidR="00B730F9" w:rsidRPr="00B730F9" w:rsidRDefault="00B730F9" w:rsidP="00EE0314">
            <w:pPr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État final</w:t>
            </w:r>
          </w:p>
        </w:tc>
        <w:tc>
          <w:tcPr>
            <w:tcW w:w="2121" w:type="dxa"/>
          </w:tcPr>
          <w:p w14:paraId="46642020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x</w:t>
            </w:r>
            <w:r w:rsidRPr="00B730F9">
              <w:rPr>
                <w:rFonts w:eastAsia="Times New Roman" w:cs="Arial"/>
                <w:vertAlign w:val="subscript"/>
              </w:rPr>
              <w:t>max</w:t>
            </w:r>
          </w:p>
        </w:tc>
        <w:tc>
          <w:tcPr>
            <w:tcW w:w="2121" w:type="dxa"/>
          </w:tcPr>
          <w:p w14:paraId="0A313BBA" w14:textId="3E5A9594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cs="Arial"/>
              </w:rPr>
              <w:t>1,67</w:t>
            </w:r>
            <w:r w:rsidR="00F01F98">
              <w:rPr>
                <w:rFonts w:cs="Arial"/>
              </w:rPr>
              <w:t>×</w:t>
            </w:r>
            <w:r w:rsidRPr="00B730F9">
              <w:rPr>
                <w:rFonts w:cs="Arial"/>
              </w:rPr>
              <w:t>10</w:t>
            </w:r>
            <w:r w:rsidRPr="00B730F9">
              <w:rPr>
                <w:rFonts w:cs="Arial"/>
                <w:vertAlign w:val="superscript"/>
              </w:rPr>
              <w:t>-6</w:t>
            </w:r>
            <w:r w:rsidRPr="00B730F9">
              <w:rPr>
                <w:rFonts w:cs="Arial"/>
              </w:rPr>
              <w:t xml:space="preserve"> - x</w:t>
            </w:r>
            <w:r w:rsidRPr="00B730F9">
              <w:rPr>
                <w:rFonts w:cs="Arial"/>
                <w:vertAlign w:val="subscript"/>
              </w:rPr>
              <w:t xml:space="preserve">max </w:t>
            </w:r>
            <w:r w:rsidRPr="00B730F9">
              <w:rPr>
                <w:rFonts w:cs="Arial"/>
              </w:rPr>
              <w:t>= 0</w:t>
            </w:r>
          </w:p>
        </w:tc>
        <w:tc>
          <w:tcPr>
            <w:tcW w:w="2121" w:type="dxa"/>
          </w:tcPr>
          <w:p w14:paraId="1DCD08B8" w14:textId="7777777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eastAsia="Times New Roman" w:cs="Arial"/>
              </w:rPr>
              <w:t>excès</w:t>
            </w:r>
          </w:p>
        </w:tc>
        <w:tc>
          <w:tcPr>
            <w:tcW w:w="2122" w:type="dxa"/>
          </w:tcPr>
          <w:p w14:paraId="5DD42C85" w14:textId="296C5AF7" w:rsidR="00B730F9" w:rsidRPr="00B730F9" w:rsidRDefault="00B730F9" w:rsidP="00EE0314">
            <w:pPr>
              <w:jc w:val="center"/>
              <w:rPr>
                <w:rFonts w:cs="Arial"/>
              </w:rPr>
            </w:pPr>
            <w:r w:rsidRPr="00B730F9">
              <w:rPr>
                <w:rFonts w:cs="Arial"/>
              </w:rPr>
              <w:t>x</w:t>
            </w:r>
            <w:r w:rsidRPr="00B730F9">
              <w:rPr>
                <w:rFonts w:cs="Arial"/>
                <w:vertAlign w:val="subscript"/>
              </w:rPr>
              <w:t xml:space="preserve">max </w:t>
            </w:r>
            <w:r w:rsidRPr="00B730F9">
              <w:rPr>
                <w:rFonts w:cs="Arial"/>
              </w:rPr>
              <w:t>= 1,67</w:t>
            </w:r>
            <w:r w:rsidR="00F01F98">
              <w:rPr>
                <w:rFonts w:cs="Arial"/>
              </w:rPr>
              <w:t>×</w:t>
            </w:r>
            <w:r w:rsidRPr="00B730F9">
              <w:rPr>
                <w:rFonts w:cs="Arial"/>
              </w:rPr>
              <w:t>10</w:t>
            </w:r>
            <w:r w:rsidRPr="00B730F9">
              <w:rPr>
                <w:rFonts w:cs="Arial"/>
                <w:vertAlign w:val="superscript"/>
              </w:rPr>
              <w:t>-6</w:t>
            </w:r>
          </w:p>
        </w:tc>
      </w:tr>
    </w:tbl>
    <w:p w14:paraId="12832B50" w14:textId="463F006A" w:rsidR="00086625" w:rsidRDefault="0087397D">
      <w:pPr>
        <w:pStyle w:val="Corpsdetexte"/>
      </w:pPr>
      <w:r>
        <w:t>Le tableau d’avancement nous indique que la quantité finale en ions Fe(SCN)</w:t>
      </w:r>
      <w:r>
        <w:rPr>
          <w:vertAlign w:val="superscript"/>
        </w:rPr>
        <w:t>2+</w:t>
      </w:r>
      <w:r>
        <w:t xml:space="preserve"> correspond à la quan</w:t>
      </w:r>
      <w:r>
        <w:t>tité initiale en ions SCN</w:t>
      </w:r>
      <w:r>
        <w:rPr>
          <w:vertAlign w:val="superscript"/>
        </w:rPr>
        <w:t>-</w:t>
      </w:r>
      <w:r>
        <w:t>.</w:t>
      </w:r>
    </w:p>
    <w:p w14:paraId="4D2150A9" w14:textId="77777777" w:rsidR="00086625" w:rsidRDefault="0087397D">
      <w:pPr>
        <w:pStyle w:val="Corpsdetexte"/>
        <w:rPr>
          <w:b/>
          <w:bCs/>
        </w:rPr>
      </w:pPr>
      <w:r>
        <w:rPr>
          <w:b/>
          <w:bCs/>
        </w:rPr>
        <w:t>9. Déterminer la valeur de la concentration en masse des ions thiocyanate SCN</w:t>
      </w:r>
      <w:r>
        <w:rPr>
          <w:b/>
          <w:bCs/>
          <w:vertAlign w:val="superscript"/>
        </w:rPr>
        <w:t>−</w:t>
      </w:r>
      <w:r>
        <w:rPr>
          <w:b/>
          <w:bCs/>
        </w:rPr>
        <w:t xml:space="preserve"> dans l’échantillon de salive de la femme enceinte et conclure sur le potentiel tabagisme passif de cette femme.</w:t>
      </w:r>
    </w:p>
    <w:p w14:paraId="122050DE" w14:textId="3CEA877A" w:rsidR="00086625" w:rsidRDefault="0087397D">
      <w:pPr>
        <w:pStyle w:val="Corpsdetexte"/>
      </w:pPr>
      <w:r>
        <w:t>La quantité n’ d’ions Fe(SCN)</w:t>
      </w:r>
      <w:r>
        <w:rPr>
          <w:vertAlign w:val="superscript"/>
        </w:rPr>
        <w:t>2+</w:t>
      </w:r>
      <w:r>
        <w:t xml:space="preserve"> trouvée à la question 7. correspond à la quantité d’ions SCN</w:t>
      </w:r>
      <w:r w:rsidRPr="00F01F98">
        <w:rPr>
          <w:vertAlign w:val="superscript"/>
        </w:rPr>
        <w:t>-</w:t>
      </w:r>
      <w:r>
        <w:t xml:space="preserve"> présents dans les 250</w:t>
      </w:r>
      <w:r w:rsidR="00F01F98">
        <w:t> </w:t>
      </w:r>
      <w:r>
        <w:t>µL de salive prélevée. Cela nous permet de calculer la concentration en quantité de matière d’ions SCN</w:t>
      </w:r>
      <w:r w:rsidRPr="00F01F98">
        <w:rPr>
          <w:vertAlign w:val="superscript"/>
        </w:rPr>
        <w:t>-</w:t>
      </w:r>
      <w:r>
        <w:t xml:space="preserve"> dans l’échantillon de salive :</w:t>
      </w:r>
    </w:p>
    <w:p w14:paraId="7CCB1695" w14:textId="77777777" w:rsidR="00086625" w:rsidRDefault="0087397D">
      <w:pPr>
        <w:pStyle w:val="Corpsdetexte"/>
      </w:pPr>
      <m:oMathPara>
        <m:oMath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1,67×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250×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</w:rPr>
            <m:t>=6,68×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m</m:t>
          </m:r>
          <m:r>
            <w:rPr>
              <w:rFonts w:ascii="Cambria Math" w:hAnsi="Cambria Math"/>
            </w:rPr>
            <m:t>ol</m:t>
          </m:r>
          <m:r>
            <w:rPr>
              <w:rFonts w:ascii="Cambria Math" w:hAnsi="Cambria Math"/>
            </w:rPr>
            <m:t>.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14:paraId="3C0295E6" w14:textId="3E21B9DD" w:rsidR="00F01F98" w:rsidRPr="00F01F98" w:rsidRDefault="0087397D">
      <w:pPr>
        <w:pStyle w:val="Corpsdetexte"/>
      </w:pPr>
      <w:r>
        <w:t>On en déduit maintenant la concentration en masse d’ions SCN</w:t>
      </w:r>
      <w:r w:rsidRPr="00F01F98">
        <w:rPr>
          <w:vertAlign w:val="superscript"/>
        </w:rPr>
        <w:t>-</w:t>
      </w:r>
      <w:r>
        <w:t> :</w:t>
      </w:r>
      <w:r w:rsidR="00F01F98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.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SCN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sub>
        </m:sSub>
      </m:oMath>
    </w:p>
    <w:p w14:paraId="093362FA" w14:textId="649616AD" w:rsidR="00086625" w:rsidRDefault="00F01F98" w:rsidP="00936DF3">
      <w:pPr>
        <w:pStyle w:val="Corpsdetexte"/>
        <w:jc w:val="both"/>
      </w:pPr>
      <m:oMath>
        <m:r>
          <w:rPr>
            <w:rFonts w:ascii="Cambria Math" w:hAnsi="Cambria Math"/>
          </w:rPr>
          <m:t>c</m:t>
        </m:r>
      </m:oMath>
      <w:r w:rsidRPr="00F01F98">
        <w:rPr>
          <w:vertAlign w:val="subscript"/>
        </w:rPr>
        <w:t>m</w:t>
      </w:r>
      <m:oMath>
        <m:r>
          <w:rPr>
            <w:rFonts w:ascii="Cambria Math" w:hAnsi="Cambria Math"/>
          </w:rPr>
          <m:t>=6,68×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×58=3,87×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=387</m:t>
        </m:r>
        <m:r>
          <w:rPr>
            <w:rFonts w:ascii="Cambria Math" w:hAnsi="Cambria Math"/>
          </w:rPr>
          <m:t>mg</m:t>
        </m:r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</m:oMath>
      <w:r w:rsidR="0087397D">
        <w:t xml:space="preserve">. </w:t>
      </w:r>
      <w:r w:rsidR="0087397D">
        <w:t>Cette concentration en masse étant supérieure à la valeur de 349</w:t>
      </w:r>
      <w:r w:rsidR="00936DF3">
        <w:t> </w:t>
      </w:r>
      <w:r w:rsidR="0087397D">
        <w:t>mg.L</w:t>
      </w:r>
      <w:r w:rsidR="0087397D">
        <w:rPr>
          <w:vertAlign w:val="superscript"/>
        </w:rPr>
        <w:t>-1</w:t>
      </w:r>
      <w:r w:rsidR="0087397D">
        <w:t xml:space="preserve"> d’un fumeur on</w:t>
      </w:r>
      <w:r w:rsidR="0087397D">
        <w:t xml:space="preserve"> peut donc conclure que cette fem</w:t>
      </w:r>
      <w:r w:rsidR="0087397D">
        <w:t xml:space="preserve">me enceinte est </w:t>
      </w:r>
      <w:r w:rsidR="0087397D">
        <w:t>en situation de tabagisme passif.</w:t>
      </w:r>
    </w:p>
    <w:sectPr w:rsidR="00086625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163A"/>
    <w:multiLevelType w:val="multilevel"/>
    <w:tmpl w:val="B81810EA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7B0BC6"/>
    <w:multiLevelType w:val="multilevel"/>
    <w:tmpl w:val="CAD60DB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F4705F"/>
    <w:multiLevelType w:val="hybridMultilevel"/>
    <w:tmpl w:val="619AD9A6"/>
    <w:lvl w:ilvl="0" w:tplc="6BB43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67CFB36">
      <w:start w:val="1"/>
      <w:numFmt w:val="lowerLetter"/>
      <w:lvlText w:val="%2."/>
      <w:lvlJc w:val="left"/>
      <w:pPr>
        <w:ind w:left="1440" w:hanging="360"/>
      </w:pPr>
    </w:lvl>
    <w:lvl w:ilvl="2" w:tplc="F606EB24">
      <w:start w:val="1"/>
      <w:numFmt w:val="lowerRoman"/>
      <w:lvlText w:val="%3."/>
      <w:lvlJc w:val="right"/>
      <w:pPr>
        <w:ind w:left="2160" w:hanging="180"/>
      </w:pPr>
    </w:lvl>
    <w:lvl w:ilvl="3" w:tplc="6E02B498">
      <w:start w:val="1"/>
      <w:numFmt w:val="decimal"/>
      <w:lvlText w:val="%4."/>
      <w:lvlJc w:val="left"/>
      <w:pPr>
        <w:ind w:left="2880" w:hanging="360"/>
      </w:pPr>
    </w:lvl>
    <w:lvl w:ilvl="4" w:tplc="E0D2784A">
      <w:start w:val="1"/>
      <w:numFmt w:val="lowerLetter"/>
      <w:lvlText w:val="%5."/>
      <w:lvlJc w:val="left"/>
      <w:pPr>
        <w:ind w:left="3600" w:hanging="360"/>
      </w:pPr>
    </w:lvl>
    <w:lvl w:ilvl="5" w:tplc="3A4AB1A6">
      <w:start w:val="1"/>
      <w:numFmt w:val="lowerRoman"/>
      <w:lvlText w:val="%6."/>
      <w:lvlJc w:val="right"/>
      <w:pPr>
        <w:ind w:left="4320" w:hanging="180"/>
      </w:pPr>
    </w:lvl>
    <w:lvl w:ilvl="6" w:tplc="CBC4981A">
      <w:start w:val="1"/>
      <w:numFmt w:val="decimal"/>
      <w:lvlText w:val="%7."/>
      <w:lvlJc w:val="left"/>
      <w:pPr>
        <w:ind w:left="5040" w:hanging="360"/>
      </w:pPr>
    </w:lvl>
    <w:lvl w:ilvl="7" w:tplc="8C7C088C">
      <w:start w:val="1"/>
      <w:numFmt w:val="lowerLetter"/>
      <w:lvlText w:val="%8."/>
      <w:lvlJc w:val="left"/>
      <w:pPr>
        <w:ind w:left="5760" w:hanging="360"/>
      </w:pPr>
    </w:lvl>
    <w:lvl w:ilvl="8" w:tplc="485E95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625"/>
    <w:rsid w:val="00086625"/>
    <w:rsid w:val="00145C08"/>
    <w:rsid w:val="0087397D"/>
    <w:rsid w:val="008E5AE5"/>
    <w:rsid w:val="00936DF3"/>
    <w:rsid w:val="00B730F9"/>
    <w:rsid w:val="00F0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B25A"/>
  <w15:docId w15:val="{3F11551B-2986-4555-B4E5-9B508851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link w:val="Titre2Car"/>
    <w:uiPriority w:val="9"/>
    <w:unhideWhenUsed/>
    <w:qFormat/>
    <w:pPr>
      <w:numPr>
        <w:ilvl w:val="1"/>
        <w:numId w:val="1"/>
      </w:numPr>
      <w:spacing w:before="113" w:after="113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730F9"/>
    <w:rPr>
      <w:rFonts w:ascii="Arial" w:hAnsi="Arial"/>
      <w:u w:val="single"/>
    </w:rPr>
  </w:style>
  <w:style w:type="table" w:styleId="Grilledutableau">
    <w:name w:val="Table Grid"/>
    <w:basedOn w:val="TableauNormal"/>
    <w:uiPriority w:val="39"/>
    <w:rsid w:val="00B730F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5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5</cp:revision>
  <dcterms:created xsi:type="dcterms:W3CDTF">2021-01-27T22:07:00Z</dcterms:created>
  <dcterms:modified xsi:type="dcterms:W3CDTF">2021-01-27T22:15:00Z</dcterms:modified>
  <dc:language>fr-FR</dc:language>
</cp:coreProperties>
</file>