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07BF" w14:textId="6CA0D5D9" w:rsidR="00ED5FC4" w:rsidRDefault="00ED5FC4" w:rsidP="00ED5FC4">
      <w:pPr>
        <w:pBdr>
          <w:top w:val="single" w:sz="4" w:space="1" w:color="auto"/>
          <w:left w:val="single" w:sz="4" w:space="4" w:color="auto"/>
          <w:bottom w:val="single" w:sz="4" w:space="1" w:color="auto"/>
          <w:right w:val="single" w:sz="4" w:space="4" w:color="auto"/>
        </w:pBdr>
        <w:spacing w:after="0" w:line="22" w:lineRule="atLeast"/>
        <w:ind w:left="4" w:right="0" w:firstLine="0"/>
        <w:rPr>
          <w:b/>
          <w:sz w:val="24"/>
        </w:rPr>
      </w:pPr>
      <w:r>
        <w:rPr>
          <w:b/>
          <w:sz w:val="24"/>
        </w:rPr>
        <w:t>Bac 2023 Métropole Septembre</w:t>
      </w:r>
      <w:r>
        <w:rPr>
          <w:b/>
          <w:sz w:val="24"/>
        </w:rPr>
        <w:tab/>
      </w:r>
      <w:r>
        <w:rPr>
          <w:b/>
          <w:sz w:val="24"/>
        </w:rPr>
        <w:tab/>
      </w:r>
      <w:r w:rsidR="000E0D61">
        <w:rPr>
          <w:b/>
          <w:sz w:val="24"/>
        </w:rPr>
        <w:t>Correction ©</w:t>
      </w:r>
      <w:r>
        <w:rPr>
          <w:b/>
          <w:sz w:val="24"/>
        </w:rPr>
        <w:tab/>
        <w:t>https://labolycee.org</w:t>
      </w:r>
    </w:p>
    <w:p w14:paraId="16FBE69B" w14:textId="241647E8" w:rsidR="000355F3" w:rsidRPr="00ED5FC4" w:rsidRDefault="00530F05" w:rsidP="00ED5FC4">
      <w:pPr>
        <w:pBdr>
          <w:top w:val="single" w:sz="4" w:space="1" w:color="auto"/>
          <w:left w:val="single" w:sz="4" w:space="4" w:color="auto"/>
          <w:bottom w:val="single" w:sz="4" w:space="1" w:color="auto"/>
          <w:right w:val="single" w:sz="4" w:space="4" w:color="auto"/>
        </w:pBdr>
        <w:spacing w:after="0" w:line="22" w:lineRule="atLeast"/>
        <w:ind w:left="4" w:right="0" w:firstLine="0"/>
        <w:jc w:val="center"/>
        <w:rPr>
          <w:sz w:val="24"/>
          <w:szCs w:val="24"/>
        </w:rPr>
      </w:pPr>
      <w:r>
        <w:rPr>
          <w:b/>
          <w:sz w:val="24"/>
        </w:rPr>
        <w:t>EXERCICE 2 – ÉTUDE D’UNE CHAUFFERETTE (4 points)</w:t>
      </w:r>
    </w:p>
    <w:p w14:paraId="3B2F2DB3" w14:textId="31B63F54" w:rsidR="000355F3" w:rsidRDefault="000355F3" w:rsidP="00AA0522">
      <w:pPr>
        <w:spacing w:after="0" w:line="22" w:lineRule="atLeast"/>
        <w:ind w:left="1" w:right="0" w:firstLine="0"/>
        <w:jc w:val="left"/>
      </w:pPr>
    </w:p>
    <w:p w14:paraId="1BF8F409" w14:textId="77777777" w:rsidR="000355F3" w:rsidRPr="00530F05" w:rsidRDefault="00530F05" w:rsidP="00AA0522">
      <w:pPr>
        <w:spacing w:after="0" w:line="22" w:lineRule="atLeast"/>
        <w:ind w:left="1" w:right="0" w:firstLine="0"/>
        <w:jc w:val="left"/>
        <w:rPr>
          <w:bCs/>
          <w:iCs/>
        </w:rPr>
      </w:pPr>
      <w:r>
        <w:rPr>
          <w:b/>
        </w:rPr>
        <w:t>Données :</w:t>
      </w:r>
      <w:r>
        <w:rPr>
          <w:b/>
          <w:i/>
        </w:rPr>
        <w:t xml:space="preserve"> </w:t>
      </w:r>
    </w:p>
    <w:p w14:paraId="38B6C61A" w14:textId="6ECB9203" w:rsidR="000355F3" w:rsidRDefault="00530F05" w:rsidP="00AA0522">
      <w:pPr>
        <w:numPr>
          <w:ilvl w:val="0"/>
          <w:numId w:val="1"/>
        </w:numPr>
        <w:spacing w:after="0" w:line="22" w:lineRule="atLeast"/>
        <w:ind w:right="0" w:hanging="281"/>
      </w:pPr>
      <w:proofErr w:type="gramStart"/>
      <w:r>
        <w:t>masse</w:t>
      </w:r>
      <w:proofErr w:type="gramEnd"/>
      <w:r>
        <w:t xml:space="preserve"> molaire de l’éthanoate de sodium (Na</w:t>
      </w:r>
      <w:r>
        <w:rPr>
          <w:vertAlign w:val="superscript"/>
        </w:rPr>
        <w:t>+</w:t>
      </w:r>
      <w:r>
        <w:rPr>
          <w:rFonts w:ascii="Cambria Math" w:eastAsia="Cambria Math" w:hAnsi="Cambria Math" w:cs="Cambria Math"/>
        </w:rPr>
        <w:t>;</w:t>
      </w:r>
      <w:r>
        <w:t xml:space="preserve"> CH</w:t>
      </w:r>
      <w:r>
        <w:rPr>
          <w:vertAlign w:val="subscript"/>
        </w:rPr>
        <w:t>3</w:t>
      </w:r>
      <w:r>
        <w:t>CO</w:t>
      </w:r>
      <w:r w:rsidR="00ED5FC4">
        <w:rPr>
          <w:vertAlign w:val="subscript"/>
        </w:rPr>
        <w:t>2</w:t>
      </w:r>
      <w:r w:rsidR="00ED5FC4">
        <w:rPr>
          <w:vertAlign w:val="superscript"/>
        </w:rPr>
        <w:t>–</w:t>
      </w:r>
      <w:r>
        <w:t xml:space="preserve">) : </w:t>
      </w:r>
      <w:r>
        <w:rPr>
          <w:i/>
        </w:rPr>
        <w:t>M</w:t>
      </w:r>
      <w:r>
        <w:t xml:space="preserve"> = 82,0 </w:t>
      </w:r>
      <w:proofErr w:type="spellStart"/>
      <w:r>
        <w:t>g·mol</w:t>
      </w:r>
      <w:proofErr w:type="spellEnd"/>
      <w:r>
        <w:rPr>
          <w:vertAlign w:val="superscript"/>
        </w:rPr>
        <w:t>–1</w:t>
      </w:r>
      <w:r>
        <w:rPr>
          <w:rFonts w:ascii="Cambria Math" w:eastAsia="Cambria Math" w:hAnsi="Cambria Math" w:cs="Cambria Math"/>
        </w:rPr>
        <w:t xml:space="preserve"> </w:t>
      </w:r>
      <w:r>
        <w:t xml:space="preserve">; </w:t>
      </w:r>
    </w:p>
    <w:p w14:paraId="56DA9C33" w14:textId="77777777" w:rsidR="000355F3" w:rsidRDefault="00530F05" w:rsidP="00AA0522">
      <w:pPr>
        <w:numPr>
          <w:ilvl w:val="0"/>
          <w:numId w:val="1"/>
        </w:numPr>
        <w:spacing w:after="0" w:line="22" w:lineRule="atLeast"/>
        <w:ind w:right="0" w:hanging="281"/>
      </w:pPr>
      <w:proofErr w:type="gramStart"/>
      <w:r>
        <w:t>concentration</w:t>
      </w:r>
      <w:proofErr w:type="gramEnd"/>
      <w:r>
        <w:t xml:space="preserve"> maximale de l’éthanoate de sodium dans l’eau (ou solubilité) : </w:t>
      </w:r>
      <w:r>
        <w:rPr>
          <w:i/>
        </w:rPr>
        <w:t>s</w:t>
      </w:r>
      <w:r>
        <w:t xml:space="preserve"> = 365 </w:t>
      </w:r>
      <w:proofErr w:type="spellStart"/>
      <w:r>
        <w:t>g·L</w:t>
      </w:r>
      <w:proofErr w:type="spellEnd"/>
      <w:r>
        <w:rPr>
          <w:vertAlign w:val="superscript"/>
        </w:rPr>
        <w:t xml:space="preserve">–1 </w:t>
      </w:r>
      <w:r>
        <w:t xml:space="preserve">; </w:t>
      </w:r>
    </w:p>
    <w:p w14:paraId="1BA738AE" w14:textId="77777777" w:rsidR="000355F3" w:rsidRDefault="00530F05" w:rsidP="00AA0522">
      <w:pPr>
        <w:numPr>
          <w:ilvl w:val="0"/>
          <w:numId w:val="1"/>
        </w:numPr>
        <w:spacing w:after="0" w:line="22" w:lineRule="atLeast"/>
        <w:ind w:right="0" w:hanging="281"/>
      </w:pPr>
      <w:proofErr w:type="gramStart"/>
      <w:r>
        <w:t>valeurs</w:t>
      </w:r>
      <w:proofErr w:type="gramEnd"/>
      <w:r>
        <w:t xml:space="preserve"> de la conductivité molaire ionique </w:t>
      </w:r>
      <w:r>
        <w:rPr>
          <w:rFonts w:ascii="Segoe UI Symbol" w:eastAsia="Segoe UI Symbol" w:hAnsi="Segoe UI Symbol" w:cs="Segoe UI Symbol"/>
        </w:rPr>
        <w:t>λ</w:t>
      </w:r>
      <w:r>
        <w:rPr>
          <w:i/>
        </w:rPr>
        <w:t xml:space="preserve"> </w:t>
      </w:r>
      <w:r>
        <w:t xml:space="preserve">à 25 °C de quelques ions : </w:t>
      </w:r>
    </w:p>
    <w:p w14:paraId="7936311E" w14:textId="77777777" w:rsidR="000355F3" w:rsidRDefault="00530F05" w:rsidP="00AA0522">
      <w:pPr>
        <w:spacing w:after="0" w:line="22" w:lineRule="atLeast"/>
        <w:ind w:left="709" w:right="0" w:firstLine="0"/>
        <w:jc w:val="left"/>
      </w:pPr>
      <w:r>
        <w:t xml:space="preserve"> </w:t>
      </w:r>
    </w:p>
    <w:tbl>
      <w:tblPr>
        <w:tblStyle w:val="TableGrid"/>
        <w:tblW w:w="7992" w:type="dxa"/>
        <w:tblInd w:w="824" w:type="dxa"/>
        <w:tblCellMar>
          <w:top w:w="0" w:type="dxa"/>
          <w:left w:w="115" w:type="dxa"/>
          <w:bottom w:w="0" w:type="dxa"/>
          <w:right w:w="115" w:type="dxa"/>
        </w:tblCellMar>
        <w:tblLook w:val="04A0" w:firstRow="1" w:lastRow="0" w:firstColumn="1" w:lastColumn="0" w:noHBand="0" w:noVBand="1"/>
      </w:tblPr>
      <w:tblGrid>
        <w:gridCol w:w="2186"/>
        <w:gridCol w:w="1450"/>
        <w:gridCol w:w="1452"/>
        <w:gridCol w:w="1452"/>
        <w:gridCol w:w="1452"/>
      </w:tblGrid>
      <w:tr w:rsidR="000355F3" w14:paraId="726BAD6D" w14:textId="77777777">
        <w:trPr>
          <w:trHeight w:val="427"/>
        </w:trPr>
        <w:tc>
          <w:tcPr>
            <w:tcW w:w="2186" w:type="dxa"/>
            <w:tcBorders>
              <w:top w:val="single" w:sz="4" w:space="0" w:color="000000"/>
              <w:left w:val="single" w:sz="4" w:space="0" w:color="000000"/>
              <w:bottom w:val="single" w:sz="4" w:space="0" w:color="000000"/>
              <w:right w:val="single" w:sz="4" w:space="0" w:color="000000"/>
            </w:tcBorders>
            <w:vAlign w:val="center"/>
          </w:tcPr>
          <w:p w14:paraId="2F0737CC" w14:textId="77777777" w:rsidR="000355F3" w:rsidRDefault="00530F05" w:rsidP="00AA0522">
            <w:pPr>
              <w:spacing w:after="0" w:line="22" w:lineRule="atLeast"/>
              <w:ind w:left="0" w:right="7" w:firstLine="0"/>
              <w:jc w:val="center"/>
            </w:pPr>
            <w:r>
              <w:t xml:space="preserve">Ions </w:t>
            </w:r>
          </w:p>
        </w:tc>
        <w:tc>
          <w:tcPr>
            <w:tcW w:w="1450" w:type="dxa"/>
            <w:tcBorders>
              <w:top w:val="single" w:sz="4" w:space="0" w:color="000000"/>
              <w:left w:val="single" w:sz="4" w:space="0" w:color="000000"/>
              <w:bottom w:val="single" w:sz="4" w:space="0" w:color="000000"/>
              <w:right w:val="single" w:sz="4" w:space="0" w:color="000000"/>
            </w:tcBorders>
            <w:vAlign w:val="center"/>
          </w:tcPr>
          <w:p w14:paraId="42F4562A" w14:textId="77777777" w:rsidR="000355F3" w:rsidRDefault="00530F05" w:rsidP="00AA0522">
            <w:pPr>
              <w:spacing w:after="0" w:line="22" w:lineRule="atLeast"/>
              <w:ind w:left="0" w:right="8" w:firstLine="0"/>
              <w:jc w:val="center"/>
            </w:pPr>
            <w:r>
              <w:t>H</w:t>
            </w:r>
            <w:r>
              <w:rPr>
                <w:sz w:val="14"/>
              </w:rPr>
              <w:t>3</w:t>
            </w:r>
            <w:r>
              <w:t>O</w:t>
            </w:r>
            <w:r>
              <w:rPr>
                <w:sz w:val="14"/>
              </w:rPr>
              <w:t>+</w:t>
            </w:r>
            <w:r>
              <w:t xml:space="preserve"> </w:t>
            </w:r>
          </w:p>
        </w:tc>
        <w:tc>
          <w:tcPr>
            <w:tcW w:w="1452" w:type="dxa"/>
            <w:tcBorders>
              <w:top w:val="single" w:sz="4" w:space="0" w:color="000000"/>
              <w:left w:val="single" w:sz="4" w:space="0" w:color="000000"/>
              <w:bottom w:val="single" w:sz="4" w:space="0" w:color="000000"/>
              <w:right w:val="single" w:sz="4" w:space="0" w:color="000000"/>
            </w:tcBorders>
            <w:vAlign w:val="center"/>
          </w:tcPr>
          <w:p w14:paraId="329A66EB" w14:textId="77777777" w:rsidR="000355F3" w:rsidRDefault="00530F05" w:rsidP="00AA0522">
            <w:pPr>
              <w:spacing w:after="0" w:line="22" w:lineRule="atLeast"/>
              <w:ind w:left="0" w:right="101" w:firstLine="0"/>
              <w:jc w:val="center"/>
            </w:pPr>
            <w:r>
              <w:t>Cℓ</w:t>
            </w:r>
            <w:r>
              <w:rPr>
                <w:vertAlign w:val="superscript"/>
              </w:rPr>
              <w:t>–</w:t>
            </w:r>
            <w:r>
              <w:t xml:space="preserve"> </w:t>
            </w:r>
          </w:p>
        </w:tc>
        <w:tc>
          <w:tcPr>
            <w:tcW w:w="1452" w:type="dxa"/>
            <w:tcBorders>
              <w:top w:val="single" w:sz="4" w:space="0" w:color="000000"/>
              <w:left w:val="single" w:sz="4" w:space="0" w:color="000000"/>
              <w:bottom w:val="single" w:sz="4" w:space="0" w:color="000000"/>
              <w:right w:val="single" w:sz="4" w:space="0" w:color="000000"/>
            </w:tcBorders>
            <w:vAlign w:val="center"/>
          </w:tcPr>
          <w:p w14:paraId="686B2128" w14:textId="77777777" w:rsidR="000355F3" w:rsidRDefault="00530F05" w:rsidP="00AA0522">
            <w:pPr>
              <w:spacing w:after="0" w:line="22" w:lineRule="atLeast"/>
              <w:ind w:left="0" w:right="51" w:firstLine="0"/>
              <w:jc w:val="center"/>
            </w:pPr>
            <w:r>
              <w:t>Na</w:t>
            </w:r>
            <w:r>
              <w:rPr>
                <w:vertAlign w:val="superscript"/>
              </w:rPr>
              <w:t>+</w:t>
            </w:r>
            <w:r>
              <w:t xml:space="preserve"> </w:t>
            </w:r>
          </w:p>
        </w:tc>
        <w:tc>
          <w:tcPr>
            <w:tcW w:w="1452" w:type="dxa"/>
            <w:tcBorders>
              <w:top w:val="single" w:sz="4" w:space="0" w:color="000000"/>
              <w:left w:val="single" w:sz="4" w:space="0" w:color="000000"/>
              <w:bottom w:val="single" w:sz="4" w:space="0" w:color="000000"/>
              <w:right w:val="single" w:sz="4" w:space="0" w:color="000000"/>
            </w:tcBorders>
            <w:vAlign w:val="center"/>
          </w:tcPr>
          <w:p w14:paraId="70E3E8ED" w14:textId="48B5D7E0" w:rsidR="000355F3" w:rsidRPr="00ED5FC4" w:rsidRDefault="00530F05" w:rsidP="00AA0522">
            <w:pPr>
              <w:spacing w:after="0" w:line="22" w:lineRule="atLeast"/>
              <w:ind w:left="0" w:right="9" w:firstLine="0"/>
              <w:jc w:val="center"/>
              <w:rPr>
                <w:vertAlign w:val="superscript"/>
              </w:rPr>
            </w:pPr>
            <w:r>
              <w:t>CH</w:t>
            </w:r>
            <w:r>
              <w:rPr>
                <w:sz w:val="14"/>
              </w:rPr>
              <w:t>3</w:t>
            </w:r>
            <w:r>
              <w:t>CO</w:t>
            </w:r>
            <w:r w:rsidRPr="00ED5FC4">
              <w:rPr>
                <w:szCs w:val="20"/>
                <w:vertAlign w:val="subscript"/>
              </w:rPr>
              <w:t>2</w:t>
            </w:r>
            <w:r w:rsidR="00ED5FC4" w:rsidRPr="00ED5FC4">
              <w:rPr>
                <w:szCs w:val="20"/>
                <w:vertAlign w:val="superscript"/>
              </w:rPr>
              <w:t>–</w:t>
            </w:r>
          </w:p>
        </w:tc>
      </w:tr>
      <w:tr w:rsidR="000355F3" w14:paraId="27FB6668" w14:textId="77777777">
        <w:trPr>
          <w:trHeight w:val="430"/>
        </w:trPr>
        <w:tc>
          <w:tcPr>
            <w:tcW w:w="2186" w:type="dxa"/>
            <w:tcBorders>
              <w:top w:val="single" w:sz="4" w:space="0" w:color="000000"/>
              <w:left w:val="single" w:sz="4" w:space="0" w:color="000000"/>
              <w:bottom w:val="single" w:sz="4" w:space="0" w:color="000000"/>
              <w:right w:val="single" w:sz="4" w:space="0" w:color="000000"/>
            </w:tcBorders>
            <w:vAlign w:val="center"/>
          </w:tcPr>
          <w:p w14:paraId="27E92D01" w14:textId="77777777" w:rsidR="000355F3" w:rsidRDefault="00530F05" w:rsidP="00AA0522">
            <w:pPr>
              <w:spacing w:after="0" w:line="22" w:lineRule="atLeast"/>
              <w:ind w:left="0" w:right="5" w:firstLine="0"/>
              <w:jc w:val="center"/>
            </w:pPr>
            <w:proofErr w:type="gramStart"/>
            <w:r>
              <w:rPr>
                <w:rFonts w:ascii="Segoe UI Symbol" w:eastAsia="Segoe UI Symbol" w:hAnsi="Segoe UI Symbol" w:cs="Segoe UI Symbol"/>
              </w:rPr>
              <w:t>λ</w:t>
            </w:r>
            <w:r>
              <w:rPr>
                <w:i/>
              </w:rPr>
              <w:t xml:space="preserve">  </w:t>
            </w:r>
            <w:r>
              <w:t>en</w:t>
            </w:r>
            <w:proofErr w:type="gramEnd"/>
            <w:r>
              <w:t xml:space="preserve"> mS·m</w:t>
            </w:r>
            <w:r>
              <w:rPr>
                <w:vertAlign w:val="superscript"/>
              </w:rPr>
              <w:t>2</w:t>
            </w:r>
            <w:r>
              <w:t>·mol</w:t>
            </w:r>
            <w:r>
              <w:rPr>
                <w:vertAlign w:val="superscript"/>
              </w:rPr>
              <w:t>–1</w:t>
            </w:r>
            <w: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37704353" w14:textId="77777777" w:rsidR="000355F3" w:rsidRDefault="00530F05" w:rsidP="00AA0522">
            <w:pPr>
              <w:spacing w:after="0" w:line="22" w:lineRule="atLeast"/>
              <w:ind w:left="7" w:right="0" w:firstLine="0"/>
              <w:jc w:val="center"/>
            </w:pPr>
            <w:r>
              <w:t xml:space="preserve">35,0 </w:t>
            </w:r>
          </w:p>
        </w:tc>
        <w:tc>
          <w:tcPr>
            <w:tcW w:w="1452" w:type="dxa"/>
            <w:tcBorders>
              <w:top w:val="single" w:sz="4" w:space="0" w:color="000000"/>
              <w:left w:val="single" w:sz="4" w:space="0" w:color="000000"/>
              <w:bottom w:val="single" w:sz="4" w:space="0" w:color="000000"/>
              <w:right w:val="single" w:sz="4" w:space="0" w:color="000000"/>
            </w:tcBorders>
            <w:vAlign w:val="center"/>
          </w:tcPr>
          <w:p w14:paraId="68D39753" w14:textId="77777777" w:rsidR="000355F3" w:rsidRDefault="00530F05" w:rsidP="00AA0522">
            <w:pPr>
              <w:spacing w:after="0" w:line="22" w:lineRule="atLeast"/>
              <w:ind w:left="0" w:right="105" w:firstLine="0"/>
              <w:jc w:val="center"/>
            </w:pPr>
            <w:r>
              <w:t xml:space="preserve">7,6 </w:t>
            </w:r>
          </w:p>
        </w:tc>
        <w:tc>
          <w:tcPr>
            <w:tcW w:w="1452" w:type="dxa"/>
            <w:tcBorders>
              <w:top w:val="single" w:sz="4" w:space="0" w:color="000000"/>
              <w:left w:val="single" w:sz="4" w:space="0" w:color="000000"/>
              <w:bottom w:val="single" w:sz="4" w:space="0" w:color="000000"/>
              <w:right w:val="single" w:sz="4" w:space="0" w:color="000000"/>
            </w:tcBorders>
            <w:vAlign w:val="center"/>
          </w:tcPr>
          <w:p w14:paraId="186132A2" w14:textId="77777777" w:rsidR="000355F3" w:rsidRDefault="00530F05" w:rsidP="00AA0522">
            <w:pPr>
              <w:spacing w:after="0" w:line="22" w:lineRule="atLeast"/>
              <w:ind w:left="0" w:right="105" w:firstLine="0"/>
              <w:jc w:val="center"/>
            </w:pPr>
            <w:r>
              <w:t xml:space="preserve">5,0 </w:t>
            </w:r>
          </w:p>
        </w:tc>
        <w:tc>
          <w:tcPr>
            <w:tcW w:w="1452" w:type="dxa"/>
            <w:tcBorders>
              <w:top w:val="single" w:sz="4" w:space="0" w:color="000000"/>
              <w:left w:val="single" w:sz="4" w:space="0" w:color="000000"/>
              <w:bottom w:val="single" w:sz="4" w:space="0" w:color="000000"/>
              <w:right w:val="single" w:sz="4" w:space="0" w:color="000000"/>
            </w:tcBorders>
            <w:vAlign w:val="center"/>
          </w:tcPr>
          <w:p w14:paraId="63E01E68" w14:textId="77777777" w:rsidR="000355F3" w:rsidRDefault="00530F05" w:rsidP="00AA0522">
            <w:pPr>
              <w:spacing w:after="0" w:line="22" w:lineRule="atLeast"/>
              <w:ind w:left="0" w:right="105" w:firstLine="0"/>
              <w:jc w:val="center"/>
            </w:pPr>
            <w:r>
              <w:t xml:space="preserve">4,1 </w:t>
            </w:r>
          </w:p>
        </w:tc>
      </w:tr>
    </w:tbl>
    <w:p w14:paraId="72946976" w14:textId="03279940" w:rsidR="000355F3" w:rsidRDefault="000355F3" w:rsidP="00AA0522">
      <w:pPr>
        <w:spacing w:after="0" w:line="22" w:lineRule="atLeast"/>
        <w:ind w:left="1" w:right="0" w:firstLine="0"/>
        <w:jc w:val="left"/>
      </w:pPr>
    </w:p>
    <w:p w14:paraId="429ED139" w14:textId="13CCF898" w:rsidR="000355F3" w:rsidRDefault="00530F05" w:rsidP="00AA0522">
      <w:pPr>
        <w:spacing w:after="0" w:line="22" w:lineRule="atLeast"/>
        <w:ind w:left="-3" w:right="0"/>
      </w:pPr>
      <w:r>
        <w:t xml:space="preserve">À partir de la solution d’éthanoate de sodium </w:t>
      </w:r>
      <w:proofErr w:type="gramStart"/>
      <w:r>
        <w:t>( Na</w:t>
      </w:r>
      <w:proofErr w:type="gramEnd"/>
      <w:r>
        <w:rPr>
          <w:vertAlign w:val="superscript"/>
        </w:rPr>
        <w:t>+</w:t>
      </w:r>
      <w:r>
        <w:rPr>
          <w:rFonts w:ascii="Cambria Math" w:eastAsia="Cambria Math" w:hAnsi="Cambria Math" w:cs="Cambria Math"/>
        </w:rPr>
        <w:t>;</w:t>
      </w:r>
      <w:r>
        <w:t xml:space="preserve"> CH</w:t>
      </w:r>
      <w:r>
        <w:rPr>
          <w:vertAlign w:val="subscript"/>
        </w:rPr>
        <w:t>3</w:t>
      </w:r>
      <w:r>
        <w:t>CO</w:t>
      </w:r>
      <w:r>
        <w:rPr>
          <w:vertAlign w:val="subscript"/>
        </w:rPr>
        <w:t>2</w:t>
      </w:r>
      <w:r w:rsidR="00ED5FC4">
        <w:rPr>
          <w:vertAlign w:val="superscript"/>
        </w:rPr>
        <w:t>–</w:t>
      </w:r>
      <w:r>
        <w:rPr>
          <w:rFonts w:ascii="Cambria Math" w:eastAsia="Cambria Math" w:hAnsi="Cambria Math" w:cs="Cambria Math"/>
        </w:rPr>
        <w:t xml:space="preserve">) </w:t>
      </w:r>
      <w:r>
        <w:t xml:space="preserve"> présente dans la chaufferette, on prépare 50,0 mL de solution diluée 25 fois. On note S la solution obtenue.</w:t>
      </w:r>
    </w:p>
    <w:p w14:paraId="1C178109" w14:textId="1411D1F1" w:rsidR="000355F3" w:rsidRPr="000231BF" w:rsidRDefault="00530F05" w:rsidP="00AA0522">
      <w:pPr>
        <w:spacing w:after="0" w:line="22" w:lineRule="atLeast"/>
        <w:ind w:left="-3" w:right="0"/>
        <w:rPr>
          <w:b/>
        </w:rPr>
      </w:pPr>
      <w:r w:rsidRPr="000231BF">
        <w:rPr>
          <w:b/>
        </w:rPr>
        <w:t>Q1.</w:t>
      </w:r>
      <w:r w:rsidRPr="000231BF">
        <w:rPr>
          <w:b/>
        </w:rPr>
        <w:t xml:space="preserve"> Décrire le protocole expérimental permettant de préparer la solution S. Indiquer, en justifiant, les volumes de la verrerie utilisée.</w:t>
      </w:r>
    </w:p>
    <w:p w14:paraId="4CBDF223" w14:textId="4A5F1346" w:rsidR="000355F3" w:rsidRDefault="000231BF" w:rsidP="00AA0522">
      <w:pPr>
        <w:spacing w:after="0" w:line="22" w:lineRule="atLeast"/>
        <w:ind w:left="1" w:right="0" w:firstLine="0"/>
        <w:jc w:val="left"/>
      </w:pPr>
      <w:r>
        <w:t>On procède à une dilution</w:t>
      </w:r>
    </w:p>
    <w:p w14:paraId="2D7EBF5A" w14:textId="00782D7D" w:rsidR="000231BF" w:rsidRDefault="000231BF" w:rsidP="00AA0522">
      <w:pPr>
        <w:spacing w:after="0" w:line="22" w:lineRule="atLeast"/>
        <w:ind w:left="1" w:right="0" w:firstLine="0"/>
        <w:jc w:val="left"/>
      </w:pPr>
      <w:r>
        <w:t>Solution mère :</w:t>
      </w:r>
      <w:r>
        <w:tab/>
      </w:r>
      <w:r>
        <w:tab/>
      </w:r>
      <w:r>
        <w:tab/>
      </w:r>
      <w:r>
        <w:tab/>
      </w:r>
      <w:r>
        <w:tab/>
      </w:r>
      <w:r>
        <w:tab/>
      </w:r>
      <w:r>
        <w:tab/>
        <w:t>Solution fille : Solution S diluée 25 fois</w:t>
      </w:r>
    </w:p>
    <w:p w14:paraId="584C607E" w14:textId="0F6D4463" w:rsidR="000231BF" w:rsidRDefault="000231BF" w:rsidP="00AA0522">
      <w:pPr>
        <w:spacing w:after="0" w:line="22" w:lineRule="atLeast"/>
        <w:ind w:left="1" w:right="0" w:firstLine="0"/>
        <w:jc w:val="left"/>
      </w:pPr>
      <w:r>
        <w:rPr>
          <w:i/>
          <w:iCs/>
        </w:rPr>
        <w:t>C</w:t>
      </w:r>
      <w:r>
        <w:rPr>
          <w:vertAlign w:val="subscript"/>
        </w:rPr>
        <w:t>0</w:t>
      </w:r>
      <w:r>
        <w:t xml:space="preserve"> </w:t>
      </w:r>
      <w:r>
        <w:tab/>
      </w:r>
      <w:r>
        <w:tab/>
      </w:r>
      <w:r>
        <w:tab/>
      </w:r>
      <w:r>
        <w:tab/>
      </w:r>
      <w:r>
        <w:tab/>
      </w:r>
      <w:r>
        <w:tab/>
      </w:r>
      <w:r>
        <w:tab/>
      </w:r>
      <w:r>
        <w:tab/>
      </w:r>
      <w:r>
        <w:rPr>
          <w:i/>
          <w:iCs/>
        </w:rPr>
        <w:t>C</w:t>
      </w:r>
      <w:r>
        <w:rPr>
          <w:vertAlign w:val="subscript"/>
        </w:rPr>
        <w:t>1</w:t>
      </w:r>
      <w:r>
        <w:t xml:space="preserve"> = </w:t>
      </w:r>
      <w:r w:rsidR="006D3BDD">
        <w:rPr>
          <w:i/>
          <w:iCs/>
        </w:rPr>
        <w:t>C</w:t>
      </w:r>
      <w:r w:rsidR="006D3BDD">
        <w:rPr>
          <w:vertAlign w:val="subscript"/>
        </w:rPr>
        <w:t>0</w:t>
      </w:r>
      <w:r w:rsidR="006D3BDD">
        <w:t xml:space="preserve"> / 25</w:t>
      </w:r>
    </w:p>
    <w:p w14:paraId="11ABE49C" w14:textId="6F5C8F8F" w:rsidR="006D3BDD" w:rsidRDefault="006D3BDD" w:rsidP="00AA0522">
      <w:pPr>
        <w:spacing w:after="0" w:line="22" w:lineRule="atLeast"/>
        <w:ind w:left="1" w:right="0" w:firstLine="0"/>
        <w:jc w:val="left"/>
      </w:pPr>
      <w:r>
        <w:rPr>
          <w:i/>
          <w:iCs/>
        </w:rPr>
        <w:t>V</w:t>
      </w:r>
      <w:r>
        <w:rPr>
          <w:vertAlign w:val="subscript"/>
        </w:rPr>
        <w:t>0</w:t>
      </w:r>
      <w:r>
        <w:t xml:space="preserve"> à prélever</w:t>
      </w:r>
      <w:r>
        <w:tab/>
      </w:r>
      <w:r>
        <w:tab/>
      </w:r>
      <w:r>
        <w:tab/>
      </w:r>
      <w:r>
        <w:tab/>
      </w:r>
      <w:r>
        <w:tab/>
      </w:r>
      <w:r>
        <w:tab/>
      </w:r>
      <w:r>
        <w:tab/>
      </w:r>
      <w:r>
        <w:rPr>
          <w:i/>
          <w:iCs/>
        </w:rPr>
        <w:t>V</w:t>
      </w:r>
      <w:r>
        <w:rPr>
          <w:vertAlign w:val="subscript"/>
        </w:rPr>
        <w:t>1</w:t>
      </w:r>
      <w:r>
        <w:t xml:space="preserve"> </w:t>
      </w:r>
      <w:r w:rsidR="007B2BEE">
        <w:t>= 50,0 mL</w:t>
      </w:r>
    </w:p>
    <w:p w14:paraId="076A5AE4" w14:textId="2DA48AC6" w:rsidR="007B2BEE" w:rsidRDefault="007B2BEE" w:rsidP="00AA0522">
      <w:pPr>
        <w:spacing w:after="0" w:line="22" w:lineRule="atLeast"/>
        <w:ind w:left="1" w:right="0" w:firstLine="0"/>
        <w:jc w:val="left"/>
      </w:pPr>
      <w:r>
        <w:t xml:space="preserve">Au cours d’une dilution, la quantité de matière de soluté se conserve </w:t>
      </w:r>
      <w:r>
        <w:rPr>
          <w:i/>
          <w:iCs/>
        </w:rPr>
        <w:t>n</w:t>
      </w:r>
      <w:r>
        <w:rPr>
          <w:vertAlign w:val="subscript"/>
        </w:rPr>
        <w:t>0</w:t>
      </w:r>
      <w:r>
        <w:t xml:space="preserve"> = </w:t>
      </w:r>
      <w:r>
        <w:rPr>
          <w:i/>
          <w:iCs/>
        </w:rPr>
        <w:t>n</w:t>
      </w:r>
      <w:r>
        <w:rPr>
          <w:vertAlign w:val="subscript"/>
        </w:rPr>
        <w:t>1</w:t>
      </w:r>
    </w:p>
    <w:p w14:paraId="0DE333F6" w14:textId="1588CA0A" w:rsidR="007B2BEE" w:rsidRDefault="007B2BEE" w:rsidP="00AA0522">
      <w:pPr>
        <w:spacing w:after="0" w:line="22" w:lineRule="atLeast"/>
        <w:ind w:left="1" w:right="0" w:firstLine="0"/>
        <w:jc w:val="left"/>
      </w:pPr>
      <w:r>
        <w:rPr>
          <w:i/>
          <w:iCs/>
        </w:rPr>
        <w:t>C</w:t>
      </w:r>
      <w:r w:rsidRPr="007B2BEE">
        <w:rPr>
          <w:vertAlign w:val="subscript"/>
        </w:rPr>
        <w:t>0</w:t>
      </w:r>
      <w:r>
        <w:rPr>
          <w:i/>
          <w:iCs/>
        </w:rPr>
        <w:t>.V</w:t>
      </w:r>
      <w:r>
        <w:rPr>
          <w:vertAlign w:val="subscript"/>
        </w:rPr>
        <w:t>0</w:t>
      </w:r>
      <w:r>
        <w:t xml:space="preserve"> = </w:t>
      </w:r>
      <w:r>
        <w:rPr>
          <w:i/>
          <w:iCs/>
        </w:rPr>
        <w:t>C</w:t>
      </w:r>
      <w:r>
        <w:rPr>
          <w:vertAlign w:val="subscript"/>
        </w:rPr>
        <w:t>1</w:t>
      </w:r>
      <w:r>
        <w:t>.</w:t>
      </w:r>
      <w:r>
        <w:rPr>
          <w:i/>
          <w:iCs/>
        </w:rPr>
        <w:t>V</w:t>
      </w:r>
      <w:r>
        <w:rPr>
          <w:vertAlign w:val="subscript"/>
        </w:rPr>
        <w:t>1</w:t>
      </w:r>
    </w:p>
    <w:p w14:paraId="29146529" w14:textId="6E1B269D" w:rsidR="007B2BEE" w:rsidRDefault="001159D5" w:rsidP="00AA0522">
      <w:pPr>
        <w:spacing w:after="0" w:line="22" w:lineRule="atLeast"/>
        <w:ind w:left="1" w:right="0" w:firstLine="0"/>
        <w:jc w:val="left"/>
      </w:pPr>
      <w:r w:rsidRPr="001159D5">
        <w:rPr>
          <w:position w:val="-30"/>
        </w:rPr>
        <w:object w:dxaOrig="2480" w:dyaOrig="960" w14:anchorId="0B45F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4pt;height:48pt" o:ole="">
            <v:imagedata r:id="rId5" o:title=""/>
          </v:shape>
          <o:OLEObject Type="Embed" ProgID="Equation.DSMT4" ShapeID="_x0000_i1027" DrawAspect="Content" ObjectID="_1761922429" r:id="rId6"/>
        </w:object>
      </w:r>
      <w:r>
        <w:t xml:space="preserve"> </w:t>
      </w:r>
    </w:p>
    <w:p w14:paraId="3A25E988" w14:textId="14C68138" w:rsidR="001159D5" w:rsidRDefault="001159D5" w:rsidP="00AA0522">
      <w:pPr>
        <w:spacing w:after="0" w:line="22" w:lineRule="atLeast"/>
        <w:ind w:left="1" w:right="0" w:firstLine="0"/>
        <w:jc w:val="left"/>
      </w:pPr>
      <w:r>
        <w:rPr>
          <w:i/>
          <w:iCs/>
        </w:rPr>
        <w:t>V</w:t>
      </w:r>
      <w:r>
        <w:rPr>
          <w:vertAlign w:val="subscript"/>
        </w:rPr>
        <w:t>0</w:t>
      </w:r>
      <w:r>
        <w:t xml:space="preserve"> = 50,0 / 25 = 2,0 mL</w:t>
      </w:r>
    </w:p>
    <w:p w14:paraId="32BEE6C7" w14:textId="70EEC04C" w:rsidR="001159D5" w:rsidRDefault="001159D5" w:rsidP="00AA0522">
      <w:pPr>
        <w:spacing w:after="0" w:line="22" w:lineRule="atLeast"/>
        <w:ind w:left="1" w:right="0" w:firstLine="0"/>
        <w:jc w:val="left"/>
      </w:pPr>
      <w:r>
        <w:t>Protocole de dilution :</w:t>
      </w:r>
    </w:p>
    <w:p w14:paraId="3D81FBD4" w14:textId="446C88A8" w:rsidR="001159D5" w:rsidRDefault="001159D5" w:rsidP="002632A4">
      <w:pPr>
        <w:spacing w:after="0" w:line="22" w:lineRule="atLeast"/>
        <w:ind w:left="1" w:right="0" w:firstLine="0"/>
      </w:pPr>
      <w:r>
        <w:t xml:space="preserve">Dans un </w:t>
      </w:r>
      <w:proofErr w:type="spellStart"/>
      <w:r>
        <w:t>becher</w:t>
      </w:r>
      <w:proofErr w:type="spellEnd"/>
      <w:r>
        <w:t xml:space="preserve">, on verse de la solution mère issue de la chaufferette. On y prélève </w:t>
      </w:r>
      <w:r w:rsidR="002632A4">
        <w:rPr>
          <w:i/>
          <w:iCs/>
        </w:rPr>
        <w:t>V</w:t>
      </w:r>
      <w:r w:rsidR="002632A4">
        <w:rPr>
          <w:vertAlign w:val="subscript"/>
        </w:rPr>
        <w:t>1</w:t>
      </w:r>
      <w:r w:rsidR="002632A4">
        <w:t xml:space="preserve"> = 2,0 mL à l’aider d’une pipette jaugée. On verse ce prélèvement dans une fiole jaugée de 50,0 mL. On ajoute de l’eau distillée jusqu’au tiers de la fiole. On agite. On ajoute de l’eau jusqu’au trait de jauge. On bouche, on agite.</w:t>
      </w:r>
    </w:p>
    <w:p w14:paraId="6D3F412A" w14:textId="77777777" w:rsidR="002632A4" w:rsidRPr="002632A4" w:rsidRDefault="002632A4" w:rsidP="002632A4">
      <w:pPr>
        <w:spacing w:after="0" w:line="22" w:lineRule="atLeast"/>
        <w:ind w:left="1" w:right="0" w:firstLine="0"/>
      </w:pPr>
    </w:p>
    <w:p w14:paraId="11F74368" w14:textId="77777777" w:rsidR="006D3BDD" w:rsidRPr="006D3BDD" w:rsidRDefault="006D3BDD" w:rsidP="00AA0522">
      <w:pPr>
        <w:spacing w:after="0" w:line="22" w:lineRule="atLeast"/>
        <w:ind w:left="1" w:right="0" w:firstLine="0"/>
        <w:jc w:val="left"/>
        <w:rPr>
          <w:i/>
          <w:iCs/>
        </w:rPr>
      </w:pPr>
    </w:p>
    <w:p w14:paraId="4DC21626" w14:textId="77777777" w:rsidR="006D3BDD" w:rsidRPr="006D3BDD" w:rsidRDefault="006D3BDD" w:rsidP="00AA0522">
      <w:pPr>
        <w:spacing w:after="0" w:line="22" w:lineRule="atLeast"/>
        <w:ind w:left="1" w:right="0" w:firstLine="0"/>
        <w:jc w:val="left"/>
      </w:pPr>
    </w:p>
    <w:p w14:paraId="2DFF0793" w14:textId="77777777" w:rsidR="000355F3" w:rsidRDefault="00530F05" w:rsidP="00AA0522">
      <w:pPr>
        <w:spacing w:after="0" w:line="22" w:lineRule="atLeast"/>
        <w:ind w:left="-3" w:right="0"/>
      </w:pPr>
      <w:r>
        <w:t xml:space="preserve">On réalise un titrage avec suivi conductimétrique de la solution S. Pour cela un volume </w:t>
      </w:r>
      <w:r>
        <w:rPr>
          <w:i/>
        </w:rPr>
        <w:t>V</w:t>
      </w:r>
      <w:r>
        <w:rPr>
          <w:vertAlign w:val="subscript"/>
        </w:rPr>
        <w:t>S</w:t>
      </w:r>
      <w:r>
        <w:t xml:space="preserve"> = 10,0 mL de solution S est prélevé puis versé dans un bécher auquel sont ajoutés environ 250 mL d’eau distillée. L’ensemble est alors titré par une solution aqueuse titrante d’acide chlorhydrique de concentration </w:t>
      </w:r>
      <w:r>
        <w:rPr>
          <w:i/>
        </w:rPr>
        <w:t>C</w:t>
      </w:r>
      <w:r>
        <w:t xml:space="preserve"> = 2,0×10</w:t>
      </w:r>
      <w:r>
        <w:rPr>
          <w:vertAlign w:val="superscript"/>
        </w:rPr>
        <w:t>–1</w:t>
      </w:r>
      <w:r>
        <w:t xml:space="preserve"> </w:t>
      </w:r>
      <w:proofErr w:type="spellStart"/>
      <w:r>
        <w:t>mol·L</w:t>
      </w:r>
      <w:proofErr w:type="spellEnd"/>
      <w:r>
        <w:rPr>
          <w:vertAlign w:val="superscript"/>
        </w:rPr>
        <w:t>–1</w:t>
      </w:r>
      <w:r>
        <w:t xml:space="preserve">. </w:t>
      </w:r>
    </w:p>
    <w:p w14:paraId="2BD26A98" w14:textId="15DCFD12" w:rsidR="000355F3" w:rsidRDefault="000355F3" w:rsidP="00AA0522">
      <w:pPr>
        <w:spacing w:after="0" w:line="22" w:lineRule="atLeast"/>
        <w:ind w:left="1" w:right="0" w:firstLine="0"/>
        <w:jc w:val="left"/>
      </w:pPr>
    </w:p>
    <w:p w14:paraId="42501B0A" w14:textId="20385815" w:rsidR="000355F3" w:rsidRDefault="00530F05" w:rsidP="00AA0522">
      <w:pPr>
        <w:spacing w:after="0" w:line="22" w:lineRule="atLeast"/>
        <w:ind w:left="-3" w:right="0"/>
      </w:pPr>
      <w:r>
        <w:t>La réaction support du titrage a pour équation : CH</w:t>
      </w:r>
      <w:r>
        <w:rPr>
          <w:vertAlign w:val="subscript"/>
        </w:rPr>
        <w:t>3</w:t>
      </w:r>
      <w:r>
        <w:t>CO</w:t>
      </w:r>
      <w:r>
        <w:rPr>
          <w:vertAlign w:val="superscript"/>
        </w:rPr>
        <w:t>–</w:t>
      </w:r>
      <w:r>
        <w:rPr>
          <w:vertAlign w:val="subscript"/>
        </w:rPr>
        <w:t>2</w:t>
      </w:r>
      <w:r>
        <w:t xml:space="preserve">(aq) </w:t>
      </w:r>
      <w:r>
        <w:rPr>
          <w:rFonts w:ascii="Cambria Math" w:eastAsia="Cambria Math" w:hAnsi="Cambria Math" w:cs="Cambria Math"/>
        </w:rPr>
        <w:t xml:space="preserve">+ </w:t>
      </w:r>
      <w:r>
        <w:t>H</w:t>
      </w:r>
      <w:r>
        <w:rPr>
          <w:vertAlign w:val="subscript"/>
        </w:rPr>
        <w:t>3</w:t>
      </w:r>
      <w:r>
        <w:t>O</w:t>
      </w:r>
      <w:r>
        <w:rPr>
          <w:vertAlign w:val="superscript"/>
        </w:rPr>
        <w:t>+</w:t>
      </w:r>
      <w:r>
        <w:t xml:space="preserve">(aq) </w:t>
      </w:r>
      <w:r>
        <w:rPr>
          <w:rFonts w:ascii="Cambria Math" w:eastAsia="Cambria Math" w:hAnsi="Cambria Math" w:cs="Cambria Math"/>
        </w:rPr>
        <w:t xml:space="preserve">→ </w:t>
      </w:r>
      <w:r>
        <w:t>CH</w:t>
      </w:r>
      <w:r>
        <w:rPr>
          <w:vertAlign w:val="subscript"/>
        </w:rPr>
        <w:t>3</w:t>
      </w:r>
      <w:r>
        <w:t>CO</w:t>
      </w:r>
      <w:r>
        <w:rPr>
          <w:vertAlign w:val="subscript"/>
        </w:rPr>
        <w:t>2</w:t>
      </w:r>
      <w:r w:rsidR="00466D79" w:rsidRPr="00466D79">
        <w:t>H</w:t>
      </w:r>
      <w:r>
        <w:t xml:space="preserve">(aq) </w:t>
      </w:r>
      <w:r>
        <w:rPr>
          <w:rFonts w:ascii="Cambria Math" w:eastAsia="Cambria Math" w:hAnsi="Cambria Math" w:cs="Cambria Math"/>
        </w:rPr>
        <w:t xml:space="preserve">+ </w:t>
      </w:r>
      <w:r>
        <w:t>H</w:t>
      </w:r>
      <w:r>
        <w:rPr>
          <w:vertAlign w:val="subscript"/>
        </w:rPr>
        <w:t>2</w:t>
      </w:r>
      <w:r>
        <w:t>O</w:t>
      </w:r>
      <w:r>
        <w:t>(ℓ).</w:t>
      </w:r>
    </w:p>
    <w:p w14:paraId="162A35F6" w14:textId="59E5499E" w:rsidR="000355F3" w:rsidRDefault="000355F3" w:rsidP="00AA0522">
      <w:pPr>
        <w:spacing w:after="0" w:line="22" w:lineRule="atLeast"/>
        <w:ind w:left="1" w:right="0" w:firstLine="0"/>
        <w:jc w:val="left"/>
      </w:pPr>
    </w:p>
    <w:p w14:paraId="6C64E459" w14:textId="77777777" w:rsidR="000355F3" w:rsidRDefault="00530F05" w:rsidP="00AA0522">
      <w:pPr>
        <w:spacing w:after="0" w:line="22" w:lineRule="atLeast"/>
        <w:ind w:left="-3" w:right="0"/>
      </w:pPr>
      <w:r>
        <w:t xml:space="preserve">La conductivité </w:t>
      </w:r>
      <w:r>
        <w:rPr>
          <w:i/>
        </w:rPr>
        <w:t xml:space="preserve">σ </w:t>
      </w:r>
      <w:r>
        <w:t xml:space="preserve">de la solution contenue dans le bécher est mesurée après chaque ajout de solution aqueuse titrante d’acide chlorhydrique. Les résultats expérimentaux obtenus sont reproduits en figure 1 ci-dessous. </w:t>
      </w:r>
    </w:p>
    <w:p w14:paraId="75991D32" w14:textId="4C462770" w:rsidR="000355F3" w:rsidRDefault="000355F3" w:rsidP="00AA0522">
      <w:pPr>
        <w:spacing w:after="0" w:line="22" w:lineRule="atLeast"/>
        <w:ind w:left="1" w:right="961" w:firstLine="0"/>
        <w:jc w:val="left"/>
      </w:pPr>
    </w:p>
    <w:p w14:paraId="0E01F28A" w14:textId="77777777" w:rsidR="000355F3" w:rsidRDefault="00530F05" w:rsidP="00AA0522">
      <w:pPr>
        <w:spacing w:after="0" w:line="22" w:lineRule="atLeast"/>
        <w:ind w:left="942" w:right="0" w:firstLine="0"/>
        <w:jc w:val="left"/>
      </w:pPr>
      <w:r>
        <w:rPr>
          <w:noProof/>
        </w:rPr>
        <w:drawing>
          <wp:inline distT="0" distB="0" distL="0" distR="0" wp14:anchorId="10A4EC86" wp14:editId="22129803">
            <wp:extent cx="4913377" cy="2340864"/>
            <wp:effectExtent l="0" t="0" r="0" b="0"/>
            <wp:docPr id="5279" name="Picture 5279"/>
            <wp:cNvGraphicFramePr/>
            <a:graphic xmlns:a="http://schemas.openxmlformats.org/drawingml/2006/main">
              <a:graphicData uri="http://schemas.openxmlformats.org/drawingml/2006/picture">
                <pic:pic xmlns:pic="http://schemas.openxmlformats.org/drawingml/2006/picture">
                  <pic:nvPicPr>
                    <pic:cNvPr id="5279" name="Picture 5279"/>
                    <pic:cNvPicPr/>
                  </pic:nvPicPr>
                  <pic:blipFill>
                    <a:blip r:embed="rId7"/>
                    <a:stretch>
                      <a:fillRect/>
                    </a:stretch>
                  </pic:blipFill>
                  <pic:spPr>
                    <a:xfrm>
                      <a:off x="0" y="0"/>
                      <a:ext cx="4913377" cy="2340864"/>
                    </a:xfrm>
                    <a:prstGeom prst="rect">
                      <a:avLst/>
                    </a:prstGeom>
                  </pic:spPr>
                </pic:pic>
              </a:graphicData>
            </a:graphic>
          </wp:inline>
        </w:drawing>
      </w:r>
    </w:p>
    <w:p w14:paraId="7BC256D8" w14:textId="77777777" w:rsidR="000355F3" w:rsidRDefault="00530F05" w:rsidP="00AA0522">
      <w:pPr>
        <w:spacing w:after="0" w:line="22" w:lineRule="atLeast"/>
        <w:ind w:left="56" w:right="0" w:firstLine="0"/>
        <w:jc w:val="center"/>
      </w:pPr>
      <w:r>
        <w:t xml:space="preserve"> </w:t>
      </w:r>
    </w:p>
    <w:p w14:paraId="698A9DF1" w14:textId="62A8F483" w:rsidR="00466D79" w:rsidRDefault="00530F05" w:rsidP="00AA0522">
      <w:pPr>
        <w:spacing w:after="0" w:line="22" w:lineRule="atLeast"/>
        <w:ind w:left="0" w:right="0" w:firstLine="0"/>
        <w:jc w:val="center"/>
      </w:pPr>
      <w:r>
        <w:t xml:space="preserve">Figure 1.  Représentation graphique de la conductivité </w:t>
      </w:r>
      <w:r>
        <w:rPr>
          <w:i/>
        </w:rPr>
        <w:t xml:space="preserve">σ </w:t>
      </w:r>
      <w:r>
        <w:t xml:space="preserve">de la solution contenue dans le bécher en fonction du volume </w:t>
      </w:r>
      <w:r>
        <w:rPr>
          <w:i/>
        </w:rPr>
        <w:t>V</w:t>
      </w:r>
      <w:r>
        <w:t xml:space="preserve"> versé de solution aqueuse titrante d’acide chlorhydrique </w:t>
      </w:r>
    </w:p>
    <w:p w14:paraId="06B94246" w14:textId="77777777" w:rsidR="00466D79" w:rsidRDefault="00466D79">
      <w:pPr>
        <w:spacing w:after="160" w:line="259" w:lineRule="auto"/>
        <w:ind w:left="0" w:right="0" w:firstLine="0"/>
        <w:jc w:val="left"/>
      </w:pPr>
      <w:r>
        <w:br w:type="page"/>
      </w:r>
    </w:p>
    <w:p w14:paraId="556FC1A6" w14:textId="25C8528B" w:rsidR="000355F3" w:rsidRPr="002632A4" w:rsidRDefault="00530F05" w:rsidP="004B5308">
      <w:pPr>
        <w:spacing w:after="0" w:line="22" w:lineRule="atLeast"/>
        <w:ind w:left="-3" w:right="0"/>
        <w:rPr>
          <w:b/>
        </w:rPr>
      </w:pPr>
      <w:r w:rsidRPr="002632A4">
        <w:rPr>
          <w:b/>
        </w:rPr>
        <w:lastRenderedPageBreak/>
        <w:t>Q2.</w:t>
      </w:r>
      <w:r w:rsidRPr="002632A4">
        <w:rPr>
          <w:b/>
        </w:rPr>
        <w:t xml:space="preserve"> Reproduire sur la copie le tableau ci-dessous. Décrire, dans chacune des cases, l’évolution des concentrations des ions dans le bécher lorsque l’on ajoute de l’acide chlorhydrique en utilisant les termes suivants : </w:t>
      </w:r>
      <w:r w:rsidR="004B5308">
        <w:rPr>
          <w:b/>
        </w:rPr>
        <w:t xml:space="preserve">- </w:t>
      </w:r>
      <w:r w:rsidRPr="002632A4">
        <w:rPr>
          <w:b/>
        </w:rPr>
        <w:t xml:space="preserve">« reste constante » ; </w:t>
      </w:r>
      <w:r w:rsidRPr="002632A4">
        <w:rPr>
          <w:b/>
        </w:rPr>
        <w:t xml:space="preserve">« reste négligeable » ; </w:t>
      </w:r>
      <w:r w:rsidRPr="002632A4">
        <w:rPr>
          <w:b/>
        </w:rPr>
        <w:t>« augmente » ;</w:t>
      </w:r>
      <w:r w:rsidRPr="002632A4">
        <w:rPr>
          <w:b/>
        </w:rPr>
        <w:t xml:space="preserve">« diminue ». </w:t>
      </w:r>
    </w:p>
    <w:p w14:paraId="26B29736" w14:textId="4A4781CF" w:rsidR="000355F3" w:rsidRPr="00466D79" w:rsidRDefault="00530F05" w:rsidP="00AA0522">
      <w:pPr>
        <w:spacing w:after="0" w:line="22" w:lineRule="atLeast"/>
        <w:ind w:left="-3" w:right="0"/>
        <w:rPr>
          <w:bCs/>
        </w:rPr>
      </w:pPr>
      <w:r>
        <w:t>On néglige l’effet de dilution dû à l’ajout de la solution d’acide chlorhydrique dans le bécher.</w:t>
      </w:r>
    </w:p>
    <w:tbl>
      <w:tblPr>
        <w:tblStyle w:val="TableGrid"/>
        <w:tblW w:w="9629" w:type="dxa"/>
        <w:tblInd w:w="6" w:type="dxa"/>
        <w:tblCellMar>
          <w:top w:w="0" w:type="dxa"/>
          <w:left w:w="115" w:type="dxa"/>
          <w:bottom w:w="0" w:type="dxa"/>
          <w:right w:w="115" w:type="dxa"/>
        </w:tblCellMar>
        <w:tblLook w:val="04A0" w:firstRow="1" w:lastRow="0" w:firstColumn="1" w:lastColumn="0" w:noHBand="0" w:noVBand="1"/>
      </w:tblPr>
      <w:tblGrid>
        <w:gridCol w:w="3209"/>
        <w:gridCol w:w="3209"/>
        <w:gridCol w:w="3211"/>
      </w:tblGrid>
      <w:tr w:rsidR="000355F3" w14:paraId="074A1BAF" w14:textId="77777777" w:rsidTr="002632A4">
        <w:trPr>
          <w:trHeight w:val="283"/>
        </w:trPr>
        <w:tc>
          <w:tcPr>
            <w:tcW w:w="3209" w:type="dxa"/>
            <w:tcBorders>
              <w:top w:val="single" w:sz="4" w:space="0" w:color="000000"/>
              <w:left w:val="single" w:sz="4" w:space="0" w:color="000000"/>
              <w:bottom w:val="single" w:sz="4" w:space="0" w:color="000000"/>
              <w:right w:val="single" w:sz="4" w:space="0" w:color="000000"/>
            </w:tcBorders>
            <w:vAlign w:val="center"/>
          </w:tcPr>
          <w:p w14:paraId="6DCF88BD" w14:textId="77777777" w:rsidR="000355F3" w:rsidRDefault="00530F05" w:rsidP="00AA0522">
            <w:pPr>
              <w:spacing w:after="0" w:line="22" w:lineRule="atLeast"/>
              <w:ind w:left="0" w:right="2" w:firstLine="0"/>
              <w:jc w:val="center"/>
            </w:pPr>
            <w:r>
              <w:t xml:space="preserve">Concentrations </w:t>
            </w:r>
          </w:p>
        </w:tc>
        <w:tc>
          <w:tcPr>
            <w:tcW w:w="3209" w:type="dxa"/>
            <w:tcBorders>
              <w:top w:val="single" w:sz="4" w:space="0" w:color="000000"/>
              <w:left w:val="single" w:sz="4" w:space="0" w:color="000000"/>
              <w:bottom w:val="single" w:sz="4" w:space="0" w:color="000000"/>
              <w:right w:val="single" w:sz="4" w:space="0" w:color="000000"/>
            </w:tcBorders>
            <w:vAlign w:val="center"/>
          </w:tcPr>
          <w:p w14:paraId="4DBDBA7D" w14:textId="77777777" w:rsidR="000355F3" w:rsidRDefault="00530F05" w:rsidP="00AA0522">
            <w:pPr>
              <w:spacing w:after="0" w:line="22" w:lineRule="atLeast"/>
              <w:ind w:left="0" w:right="2" w:firstLine="0"/>
              <w:jc w:val="center"/>
            </w:pPr>
            <w:r>
              <w:t xml:space="preserve">Avant l’équivalence </w:t>
            </w:r>
          </w:p>
        </w:tc>
        <w:tc>
          <w:tcPr>
            <w:tcW w:w="3211" w:type="dxa"/>
            <w:tcBorders>
              <w:top w:val="single" w:sz="4" w:space="0" w:color="000000"/>
              <w:left w:val="single" w:sz="4" w:space="0" w:color="000000"/>
              <w:bottom w:val="single" w:sz="4" w:space="0" w:color="000000"/>
              <w:right w:val="single" w:sz="4" w:space="0" w:color="000000"/>
            </w:tcBorders>
            <w:vAlign w:val="center"/>
          </w:tcPr>
          <w:p w14:paraId="02A822C2" w14:textId="77777777" w:rsidR="000355F3" w:rsidRDefault="00530F05" w:rsidP="00AA0522">
            <w:pPr>
              <w:spacing w:after="0" w:line="22" w:lineRule="atLeast"/>
              <w:ind w:left="0" w:right="2" w:firstLine="0"/>
              <w:jc w:val="center"/>
            </w:pPr>
            <w:r>
              <w:t xml:space="preserve">Après l’équivalence </w:t>
            </w:r>
          </w:p>
        </w:tc>
      </w:tr>
      <w:tr w:rsidR="002632A4" w14:paraId="760AB81C" w14:textId="77777777" w:rsidTr="002632A4">
        <w:trPr>
          <w:trHeight w:val="283"/>
        </w:trPr>
        <w:tc>
          <w:tcPr>
            <w:tcW w:w="3209" w:type="dxa"/>
            <w:tcBorders>
              <w:top w:val="single" w:sz="4" w:space="0" w:color="000000"/>
              <w:left w:val="single" w:sz="4" w:space="0" w:color="000000"/>
              <w:bottom w:val="single" w:sz="4" w:space="0" w:color="000000"/>
              <w:right w:val="single" w:sz="4" w:space="0" w:color="000000"/>
            </w:tcBorders>
            <w:vAlign w:val="center"/>
          </w:tcPr>
          <w:p w14:paraId="4114CCB0" w14:textId="77777777" w:rsidR="002632A4" w:rsidRDefault="002632A4" w:rsidP="002632A4">
            <w:pPr>
              <w:spacing w:after="0" w:line="22" w:lineRule="atLeast"/>
              <w:ind w:left="3" w:right="0" w:firstLine="0"/>
              <w:jc w:val="center"/>
            </w:pPr>
            <w:r>
              <w:t>[Na</w:t>
            </w:r>
            <w:r>
              <w:rPr>
                <w:vertAlign w:val="superscript"/>
              </w:rPr>
              <w:t>+</w:t>
            </w:r>
            <w: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55FD4AAD" w14:textId="69864015" w:rsidR="002632A4" w:rsidRDefault="002632A4" w:rsidP="002632A4">
            <w:pPr>
              <w:spacing w:after="0" w:line="22" w:lineRule="atLeast"/>
              <w:ind w:left="58" w:right="0" w:firstLine="0"/>
              <w:jc w:val="center"/>
            </w:pPr>
            <w:proofErr w:type="gramStart"/>
            <w:r>
              <w:t>reste</w:t>
            </w:r>
            <w:proofErr w:type="gramEnd"/>
            <w:r>
              <w:t xml:space="preserve"> constante</w:t>
            </w:r>
          </w:p>
        </w:tc>
        <w:tc>
          <w:tcPr>
            <w:tcW w:w="3211" w:type="dxa"/>
            <w:tcBorders>
              <w:top w:val="single" w:sz="4" w:space="0" w:color="000000"/>
              <w:left w:val="single" w:sz="4" w:space="0" w:color="000000"/>
              <w:bottom w:val="single" w:sz="4" w:space="0" w:color="000000"/>
              <w:right w:val="single" w:sz="4" w:space="0" w:color="000000"/>
            </w:tcBorders>
            <w:vAlign w:val="center"/>
          </w:tcPr>
          <w:p w14:paraId="7126BC17" w14:textId="4EB22328" w:rsidR="002632A4" w:rsidRDefault="002632A4" w:rsidP="002632A4">
            <w:pPr>
              <w:spacing w:after="0" w:line="22" w:lineRule="atLeast"/>
              <w:ind w:left="55" w:right="0" w:firstLine="0"/>
              <w:jc w:val="center"/>
            </w:pPr>
            <w:proofErr w:type="gramStart"/>
            <w:r>
              <w:t>reste</w:t>
            </w:r>
            <w:proofErr w:type="gramEnd"/>
            <w:r>
              <w:t xml:space="preserve"> constante</w:t>
            </w:r>
          </w:p>
        </w:tc>
      </w:tr>
      <w:tr w:rsidR="002632A4" w14:paraId="0AAFCACF" w14:textId="77777777" w:rsidTr="002632A4">
        <w:trPr>
          <w:trHeight w:val="283"/>
        </w:trPr>
        <w:tc>
          <w:tcPr>
            <w:tcW w:w="3209" w:type="dxa"/>
            <w:tcBorders>
              <w:top w:val="single" w:sz="4" w:space="0" w:color="000000"/>
              <w:left w:val="single" w:sz="4" w:space="0" w:color="000000"/>
              <w:bottom w:val="single" w:sz="4" w:space="0" w:color="000000"/>
              <w:right w:val="single" w:sz="4" w:space="0" w:color="000000"/>
            </w:tcBorders>
            <w:vAlign w:val="center"/>
          </w:tcPr>
          <w:p w14:paraId="144610D2" w14:textId="76B5DCC2" w:rsidR="002632A4" w:rsidRDefault="002632A4" w:rsidP="002632A4">
            <w:pPr>
              <w:spacing w:after="0" w:line="22" w:lineRule="atLeast"/>
              <w:ind w:left="5" w:right="0" w:firstLine="0"/>
              <w:jc w:val="center"/>
            </w:pPr>
            <w:r>
              <w:rPr>
                <w:rFonts w:ascii="Cambria Math" w:eastAsia="Cambria Math" w:hAnsi="Cambria Math" w:cs="Cambria Math"/>
              </w:rPr>
              <w:t>[</w:t>
            </w:r>
            <w:r>
              <w:t>CH</w:t>
            </w:r>
            <w:r>
              <w:rPr>
                <w:vertAlign w:val="subscript"/>
              </w:rPr>
              <w:t>3</w:t>
            </w:r>
            <w:r>
              <w:t>CO</w:t>
            </w:r>
            <w:r w:rsidRPr="0053648B">
              <w:rPr>
                <w:vertAlign w:val="subscript"/>
              </w:rPr>
              <w:t>2</w:t>
            </w:r>
            <w:r w:rsidRPr="0053648B">
              <w:rPr>
                <w:vertAlign w:val="superscript"/>
              </w:rPr>
              <w:t>–</w:t>
            </w:r>
            <w: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5F000B80" w14:textId="7EA46DDD" w:rsidR="002632A4" w:rsidRDefault="002632A4" w:rsidP="002632A4">
            <w:pPr>
              <w:spacing w:after="0" w:line="22" w:lineRule="atLeast"/>
              <w:ind w:left="58" w:right="0" w:firstLine="0"/>
              <w:jc w:val="center"/>
            </w:pPr>
            <w:proofErr w:type="gramStart"/>
            <w:r>
              <w:t>diminue</w:t>
            </w:r>
            <w:proofErr w:type="gramEnd"/>
          </w:p>
        </w:tc>
        <w:tc>
          <w:tcPr>
            <w:tcW w:w="3211" w:type="dxa"/>
            <w:tcBorders>
              <w:top w:val="single" w:sz="4" w:space="0" w:color="000000"/>
              <w:left w:val="single" w:sz="4" w:space="0" w:color="000000"/>
              <w:bottom w:val="single" w:sz="4" w:space="0" w:color="000000"/>
              <w:right w:val="single" w:sz="4" w:space="0" w:color="000000"/>
            </w:tcBorders>
            <w:vAlign w:val="center"/>
          </w:tcPr>
          <w:p w14:paraId="1FC604B8" w14:textId="5CC204F6" w:rsidR="002632A4" w:rsidRDefault="002632A4" w:rsidP="002632A4">
            <w:pPr>
              <w:spacing w:after="0" w:line="22" w:lineRule="atLeast"/>
              <w:ind w:left="55" w:right="0" w:firstLine="0"/>
              <w:jc w:val="center"/>
            </w:pPr>
            <w:proofErr w:type="gramStart"/>
            <w:r>
              <w:t>reste</w:t>
            </w:r>
            <w:proofErr w:type="gramEnd"/>
            <w:r>
              <w:t xml:space="preserve"> négligeable</w:t>
            </w:r>
          </w:p>
        </w:tc>
      </w:tr>
      <w:tr w:rsidR="002632A4" w14:paraId="633B7ED2" w14:textId="77777777" w:rsidTr="002632A4">
        <w:trPr>
          <w:trHeight w:val="283"/>
        </w:trPr>
        <w:tc>
          <w:tcPr>
            <w:tcW w:w="3209" w:type="dxa"/>
            <w:tcBorders>
              <w:top w:val="single" w:sz="4" w:space="0" w:color="000000"/>
              <w:left w:val="single" w:sz="4" w:space="0" w:color="000000"/>
              <w:bottom w:val="single" w:sz="4" w:space="0" w:color="000000"/>
              <w:right w:val="single" w:sz="4" w:space="0" w:color="000000"/>
            </w:tcBorders>
            <w:vAlign w:val="center"/>
          </w:tcPr>
          <w:p w14:paraId="15041103" w14:textId="77777777" w:rsidR="002632A4" w:rsidRDefault="002632A4" w:rsidP="002632A4">
            <w:pPr>
              <w:spacing w:after="0" w:line="22" w:lineRule="atLeast"/>
              <w:ind w:left="5" w:right="0" w:firstLine="0"/>
              <w:jc w:val="center"/>
            </w:pPr>
            <w:r>
              <w:t>[H</w:t>
            </w:r>
            <w:r>
              <w:rPr>
                <w:vertAlign w:val="subscript"/>
              </w:rPr>
              <w:t>3</w:t>
            </w:r>
            <w:r>
              <w:t>O</w:t>
            </w:r>
            <w:r>
              <w:rPr>
                <w:vertAlign w:val="superscript"/>
              </w:rPr>
              <w:t>+</w:t>
            </w:r>
            <w: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580D6134" w14:textId="6F03EEF8" w:rsidR="002632A4" w:rsidRDefault="002632A4" w:rsidP="002632A4">
            <w:pPr>
              <w:spacing w:after="0" w:line="22" w:lineRule="atLeast"/>
              <w:ind w:left="58" w:right="0" w:firstLine="0"/>
              <w:jc w:val="center"/>
            </w:pPr>
            <w:proofErr w:type="gramStart"/>
            <w:r>
              <w:t>reste</w:t>
            </w:r>
            <w:proofErr w:type="gramEnd"/>
            <w:r>
              <w:t xml:space="preserve"> négligeable</w:t>
            </w:r>
          </w:p>
        </w:tc>
        <w:tc>
          <w:tcPr>
            <w:tcW w:w="3211" w:type="dxa"/>
            <w:tcBorders>
              <w:top w:val="single" w:sz="4" w:space="0" w:color="000000"/>
              <w:left w:val="single" w:sz="4" w:space="0" w:color="000000"/>
              <w:bottom w:val="single" w:sz="4" w:space="0" w:color="000000"/>
              <w:right w:val="single" w:sz="4" w:space="0" w:color="000000"/>
            </w:tcBorders>
            <w:vAlign w:val="center"/>
          </w:tcPr>
          <w:p w14:paraId="1456DBD0" w14:textId="4EF0592C" w:rsidR="002632A4" w:rsidRDefault="002632A4" w:rsidP="002632A4">
            <w:pPr>
              <w:spacing w:after="0" w:line="22" w:lineRule="atLeast"/>
              <w:ind w:left="55" w:right="0" w:firstLine="0"/>
              <w:jc w:val="center"/>
            </w:pPr>
            <w:proofErr w:type="gramStart"/>
            <w:r>
              <w:t>augmente</w:t>
            </w:r>
            <w:proofErr w:type="gramEnd"/>
          </w:p>
        </w:tc>
      </w:tr>
      <w:tr w:rsidR="002632A4" w14:paraId="101E7D64" w14:textId="77777777" w:rsidTr="002632A4">
        <w:trPr>
          <w:trHeight w:val="283"/>
        </w:trPr>
        <w:tc>
          <w:tcPr>
            <w:tcW w:w="3209" w:type="dxa"/>
            <w:tcBorders>
              <w:top w:val="single" w:sz="4" w:space="0" w:color="000000"/>
              <w:left w:val="single" w:sz="4" w:space="0" w:color="000000"/>
              <w:bottom w:val="single" w:sz="4" w:space="0" w:color="000000"/>
              <w:right w:val="single" w:sz="4" w:space="0" w:color="000000"/>
            </w:tcBorders>
            <w:vAlign w:val="center"/>
          </w:tcPr>
          <w:p w14:paraId="7C7D2A55" w14:textId="77777777" w:rsidR="002632A4" w:rsidRDefault="002632A4" w:rsidP="002632A4">
            <w:pPr>
              <w:spacing w:after="0" w:line="22" w:lineRule="atLeast"/>
              <w:ind w:left="0" w:right="0" w:firstLine="0"/>
              <w:jc w:val="center"/>
            </w:pPr>
            <w:r>
              <w:t>[Cℓ</w:t>
            </w:r>
            <w:r>
              <w:rPr>
                <w:vertAlign w:val="superscript"/>
              </w:rPr>
              <w:t>–</w:t>
            </w:r>
            <w: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68CDFC3B" w14:textId="40AF3714" w:rsidR="002632A4" w:rsidRDefault="002632A4" w:rsidP="002632A4">
            <w:pPr>
              <w:spacing w:after="0" w:line="22" w:lineRule="atLeast"/>
              <w:ind w:left="58" w:right="0" w:firstLine="0"/>
              <w:jc w:val="center"/>
            </w:pPr>
            <w:proofErr w:type="gramStart"/>
            <w:r>
              <w:t>augmente</w:t>
            </w:r>
            <w:proofErr w:type="gramEnd"/>
          </w:p>
        </w:tc>
        <w:tc>
          <w:tcPr>
            <w:tcW w:w="3211" w:type="dxa"/>
            <w:tcBorders>
              <w:top w:val="single" w:sz="4" w:space="0" w:color="000000"/>
              <w:left w:val="single" w:sz="4" w:space="0" w:color="000000"/>
              <w:bottom w:val="single" w:sz="4" w:space="0" w:color="000000"/>
              <w:right w:val="single" w:sz="4" w:space="0" w:color="000000"/>
            </w:tcBorders>
            <w:vAlign w:val="center"/>
          </w:tcPr>
          <w:p w14:paraId="41525F4A" w14:textId="67A8789B" w:rsidR="002632A4" w:rsidRDefault="002632A4" w:rsidP="002632A4">
            <w:pPr>
              <w:spacing w:after="0" w:line="22" w:lineRule="atLeast"/>
              <w:ind w:left="55" w:right="0" w:firstLine="0"/>
              <w:jc w:val="center"/>
            </w:pPr>
            <w:proofErr w:type="gramStart"/>
            <w:r>
              <w:t>augmente</w:t>
            </w:r>
            <w:proofErr w:type="gramEnd"/>
          </w:p>
        </w:tc>
      </w:tr>
    </w:tbl>
    <w:p w14:paraId="7EAF5A05" w14:textId="1DBEDFA7" w:rsidR="000355F3" w:rsidRPr="00BB11C7" w:rsidRDefault="00530F05" w:rsidP="00AA0522">
      <w:pPr>
        <w:spacing w:after="0" w:line="22" w:lineRule="atLeast"/>
        <w:ind w:left="-3" w:right="0"/>
        <w:rPr>
          <w:b/>
        </w:rPr>
      </w:pPr>
      <w:r w:rsidRPr="00BB11C7">
        <w:rPr>
          <w:b/>
        </w:rPr>
        <w:t>Q3.</w:t>
      </w:r>
      <w:r w:rsidRPr="00BB11C7">
        <w:rPr>
          <w:b/>
        </w:rPr>
        <w:t xml:space="preserve"> En utilisant les conductivités molaires ioniques des espèces présentes, justifier sans calcul l’allure de la courbe de la figure 1.</w:t>
      </w:r>
    </w:p>
    <w:p w14:paraId="281D7086" w14:textId="0726217F" w:rsidR="000355F3" w:rsidRDefault="002632A4" w:rsidP="00AA0522">
      <w:pPr>
        <w:spacing w:after="0" w:line="22" w:lineRule="atLeast"/>
        <w:ind w:left="1" w:right="0" w:firstLine="0"/>
        <w:jc w:val="left"/>
      </w:pPr>
      <w:r>
        <w:t xml:space="preserve">Avant l’équivalence, </w:t>
      </w:r>
      <w:r w:rsidR="00BB11C7">
        <w:t>la conductivité augmente faiblement.</w:t>
      </w:r>
    </w:p>
    <w:p w14:paraId="0CF6B981" w14:textId="3A3AF4A8" w:rsidR="00BB11C7" w:rsidRDefault="00BB11C7" w:rsidP="00AA0522">
      <w:pPr>
        <w:spacing w:after="0" w:line="22" w:lineRule="atLeast"/>
        <w:ind w:left="1" w:right="0" w:firstLine="0"/>
        <w:jc w:val="left"/>
      </w:pPr>
      <w:r>
        <w:t>Les ions CH</w:t>
      </w:r>
      <w:r>
        <w:rPr>
          <w:vertAlign w:val="subscript"/>
        </w:rPr>
        <w:t>3</w:t>
      </w:r>
      <w:r>
        <w:t>CO</w:t>
      </w:r>
      <w:r>
        <w:rPr>
          <w:vertAlign w:val="subscript"/>
        </w:rPr>
        <w:t>2</w:t>
      </w:r>
      <w:r>
        <w:rPr>
          <w:vertAlign w:val="superscript"/>
        </w:rPr>
        <w:t>–</w:t>
      </w:r>
      <w:r>
        <w:t xml:space="preserve"> sont consommés tandis qu’on apporte des ions sodium Na</w:t>
      </w:r>
      <w:r>
        <w:rPr>
          <w:vertAlign w:val="superscript"/>
        </w:rPr>
        <w:t>+</w:t>
      </w:r>
      <w:r>
        <w:t xml:space="preserve"> spectateurs non consommés.</w:t>
      </w:r>
    </w:p>
    <w:p w14:paraId="6489FEA0" w14:textId="2402930B" w:rsidR="00BB11C7" w:rsidRDefault="00BB11C7" w:rsidP="00AA0522">
      <w:pPr>
        <w:spacing w:after="0" w:line="22" w:lineRule="atLeast"/>
        <w:ind w:left="1" w:right="0" w:firstLine="0"/>
        <w:jc w:val="left"/>
      </w:pPr>
      <w:r>
        <w:t>La conductivité molaire ionique des ions CH</w:t>
      </w:r>
      <w:r>
        <w:rPr>
          <w:vertAlign w:val="subscript"/>
        </w:rPr>
        <w:t>3</w:t>
      </w:r>
      <w:r>
        <w:t>CO</w:t>
      </w:r>
      <w:r>
        <w:rPr>
          <w:vertAlign w:val="subscript"/>
        </w:rPr>
        <w:t>2</w:t>
      </w:r>
      <w:r>
        <w:rPr>
          <w:vertAlign w:val="superscript"/>
        </w:rPr>
        <w:t>–</w:t>
      </w:r>
      <w:r>
        <w:t xml:space="preserve"> est légèrement plus faible que celle des ions Na</w:t>
      </w:r>
      <w:r>
        <w:rPr>
          <w:vertAlign w:val="superscript"/>
        </w:rPr>
        <w:t>+</w:t>
      </w:r>
      <w:r>
        <w:t xml:space="preserve"> justifiant cette faible augmentation de conductivité.</w:t>
      </w:r>
    </w:p>
    <w:p w14:paraId="3AA77547" w14:textId="3E6CE79A" w:rsidR="00BB11C7" w:rsidRDefault="00BB11C7" w:rsidP="00AA0522">
      <w:pPr>
        <w:spacing w:after="0" w:line="22" w:lineRule="atLeast"/>
        <w:ind w:left="1" w:right="0" w:firstLine="0"/>
        <w:jc w:val="left"/>
      </w:pPr>
      <w:r>
        <w:t>Après l’équivalence, la conductivité augmente fortement.</w:t>
      </w:r>
    </w:p>
    <w:p w14:paraId="72CDA746" w14:textId="5473F1B7" w:rsidR="00BB11C7" w:rsidRPr="00BB11C7" w:rsidRDefault="00BB11C7" w:rsidP="00AA0522">
      <w:pPr>
        <w:spacing w:after="0" w:line="22" w:lineRule="atLeast"/>
        <w:ind w:left="1" w:right="0" w:firstLine="0"/>
        <w:jc w:val="left"/>
      </w:pPr>
      <w:r>
        <w:t>Les ions H</w:t>
      </w:r>
      <w:r>
        <w:rPr>
          <w:vertAlign w:val="subscript"/>
        </w:rPr>
        <w:t>3</w:t>
      </w:r>
      <w:r>
        <w:t>O</w:t>
      </w:r>
      <w:r>
        <w:rPr>
          <w:vertAlign w:val="superscript"/>
        </w:rPr>
        <w:t>+</w:t>
      </w:r>
      <w:r>
        <w:t xml:space="preserve"> versés sont en excès, or ils possèdent une forte conductivité molaire ionique.</w:t>
      </w:r>
    </w:p>
    <w:p w14:paraId="0C727E27" w14:textId="02C3A956" w:rsidR="000355F3" w:rsidRPr="00FB1791" w:rsidRDefault="00FB1791" w:rsidP="00AA0522">
      <w:pPr>
        <w:spacing w:after="0" w:line="22" w:lineRule="atLeast"/>
        <w:ind w:left="-3" w:right="0"/>
        <w:rPr>
          <w:b/>
        </w:rPr>
      </w:pPr>
      <w:r>
        <w:rPr>
          <w:noProof/>
        </w:rPr>
        <mc:AlternateContent>
          <mc:Choice Requires="wps">
            <w:drawing>
              <wp:anchor distT="0" distB="0" distL="114300" distR="114300" simplePos="0" relativeHeight="251661312" behindDoc="0" locked="0" layoutInCell="1" allowOverlap="1" wp14:anchorId="704F67A4" wp14:editId="2A0D0905">
                <wp:simplePos x="0" y="0"/>
                <wp:positionH relativeFrom="column">
                  <wp:posOffset>3086735</wp:posOffset>
                </wp:positionH>
                <wp:positionV relativeFrom="paragraph">
                  <wp:posOffset>227330</wp:posOffset>
                </wp:positionV>
                <wp:extent cx="1981200" cy="1706880"/>
                <wp:effectExtent l="0" t="0" r="19050" b="26670"/>
                <wp:wrapNone/>
                <wp:docPr id="137338049" name="Connecteur droit 1"/>
                <wp:cNvGraphicFramePr/>
                <a:graphic xmlns:a="http://schemas.openxmlformats.org/drawingml/2006/main">
                  <a:graphicData uri="http://schemas.microsoft.com/office/word/2010/wordprocessingShape">
                    <wps:wsp>
                      <wps:cNvCnPr/>
                      <wps:spPr>
                        <a:xfrm flipV="1">
                          <a:off x="0" y="0"/>
                          <a:ext cx="1981200" cy="170688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BD096" id="Connecteur droit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05pt,17.9pt" to="399.05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" strokecolor="#4472c4 [3204]" strokeweight="1pt">
                <v:stroke joinstyle="miter"/>
              </v:line>
            </w:pict>
          </mc:Fallback>
        </mc:AlternateContent>
      </w:r>
      <w:r>
        <w:rPr>
          <w:noProof/>
        </w:rPr>
        <w:drawing>
          <wp:anchor distT="0" distB="0" distL="114300" distR="114300" simplePos="0" relativeHeight="251658240" behindDoc="0" locked="0" layoutInCell="1" allowOverlap="1" wp14:anchorId="5F3136BB" wp14:editId="0B228903">
            <wp:simplePos x="0" y="0"/>
            <wp:positionH relativeFrom="margin">
              <wp:align>center</wp:align>
            </wp:positionH>
            <wp:positionV relativeFrom="paragraph">
              <wp:posOffset>261620</wp:posOffset>
            </wp:positionV>
            <wp:extent cx="4913377" cy="2340864"/>
            <wp:effectExtent l="0" t="0" r="1905" b="2540"/>
            <wp:wrapNone/>
            <wp:docPr id="386985372" name="Image 386985372"/>
            <wp:cNvGraphicFramePr/>
            <a:graphic xmlns:a="http://schemas.openxmlformats.org/drawingml/2006/main">
              <a:graphicData uri="http://schemas.openxmlformats.org/drawingml/2006/picture">
                <pic:pic xmlns:pic="http://schemas.openxmlformats.org/drawingml/2006/picture">
                  <pic:nvPicPr>
                    <pic:cNvPr id="5279" name="Picture 5279"/>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13377" cy="2340864"/>
                    </a:xfrm>
                    <a:prstGeom prst="rect">
                      <a:avLst/>
                    </a:prstGeom>
                  </pic:spPr>
                </pic:pic>
              </a:graphicData>
            </a:graphic>
            <wp14:sizeRelH relativeFrom="page">
              <wp14:pctWidth>0</wp14:pctWidth>
            </wp14:sizeRelH>
            <wp14:sizeRelV relativeFrom="page">
              <wp14:pctHeight>0</wp14:pctHeight>
            </wp14:sizeRelV>
          </wp:anchor>
        </w:drawing>
      </w:r>
      <w:r w:rsidR="00530F05" w:rsidRPr="00FB1791">
        <w:rPr>
          <w:b/>
        </w:rPr>
        <w:t xml:space="preserve">Q4. </w:t>
      </w:r>
      <w:r w:rsidR="00530F05" w:rsidRPr="00FB1791">
        <w:rPr>
          <w:b/>
        </w:rPr>
        <w:t>Déterminer, en justifiant à l’aide d’un schéma, la valeur du volume de solution aqueuse titrante versé à l’équivalence du titrage.</w:t>
      </w:r>
    </w:p>
    <w:p w14:paraId="1F5E5DDC" w14:textId="154E9555" w:rsidR="000355F3" w:rsidRDefault="000355F3" w:rsidP="00AA0522">
      <w:pPr>
        <w:spacing w:after="0" w:line="22" w:lineRule="atLeast"/>
        <w:ind w:left="1" w:right="0" w:firstLine="0"/>
        <w:jc w:val="left"/>
      </w:pPr>
    </w:p>
    <w:p w14:paraId="25FA267A" w14:textId="6BFDA99B" w:rsidR="00FB1791" w:rsidRDefault="00FB1791" w:rsidP="00AA0522">
      <w:pPr>
        <w:spacing w:after="0" w:line="22" w:lineRule="atLeast"/>
        <w:ind w:left="1" w:right="0" w:firstLine="0"/>
        <w:jc w:val="left"/>
      </w:pPr>
    </w:p>
    <w:p w14:paraId="6B96E113" w14:textId="77777777" w:rsidR="00FB1791" w:rsidRDefault="00FB1791" w:rsidP="00AA0522">
      <w:pPr>
        <w:spacing w:after="0" w:line="22" w:lineRule="atLeast"/>
        <w:ind w:left="1" w:right="0" w:firstLine="0"/>
        <w:jc w:val="left"/>
      </w:pPr>
    </w:p>
    <w:p w14:paraId="06AB0B56" w14:textId="46DCCACF" w:rsidR="00FB1791" w:rsidRDefault="00FB1791" w:rsidP="00AA0522">
      <w:pPr>
        <w:spacing w:after="0" w:line="22" w:lineRule="atLeast"/>
        <w:ind w:left="1" w:right="0" w:firstLine="0"/>
        <w:jc w:val="left"/>
      </w:pPr>
    </w:p>
    <w:p w14:paraId="75932300" w14:textId="77777777" w:rsidR="00FB1791" w:rsidRDefault="00FB1791" w:rsidP="00AA0522">
      <w:pPr>
        <w:spacing w:after="0" w:line="22" w:lineRule="atLeast"/>
        <w:ind w:left="1" w:right="0" w:firstLine="0"/>
        <w:jc w:val="left"/>
      </w:pPr>
    </w:p>
    <w:p w14:paraId="683439C7" w14:textId="358ADBDA" w:rsidR="00FB1791" w:rsidRDefault="00FB1791" w:rsidP="00AA0522">
      <w:pPr>
        <w:spacing w:after="0" w:line="22" w:lineRule="atLeast"/>
        <w:ind w:left="1" w:right="0" w:firstLine="0"/>
        <w:jc w:val="left"/>
      </w:pPr>
    </w:p>
    <w:p w14:paraId="383B23FA" w14:textId="77777777" w:rsidR="00FB1791" w:rsidRDefault="00FB1791" w:rsidP="00AA0522">
      <w:pPr>
        <w:spacing w:after="0" w:line="22" w:lineRule="atLeast"/>
        <w:ind w:left="1" w:right="0" w:firstLine="0"/>
        <w:jc w:val="left"/>
      </w:pPr>
    </w:p>
    <w:p w14:paraId="5FDD9836" w14:textId="77777777" w:rsidR="00FB1791" w:rsidRDefault="00FB1791" w:rsidP="00AA0522">
      <w:pPr>
        <w:spacing w:after="0" w:line="22" w:lineRule="atLeast"/>
        <w:ind w:left="1" w:right="0" w:firstLine="0"/>
        <w:jc w:val="left"/>
      </w:pPr>
    </w:p>
    <w:p w14:paraId="580CAD20" w14:textId="131CBCBA" w:rsidR="00FB1791" w:rsidRDefault="00FB1791" w:rsidP="00AA0522">
      <w:pPr>
        <w:spacing w:after="0" w:line="22" w:lineRule="atLeast"/>
        <w:ind w:left="1" w:right="0" w:firstLine="0"/>
        <w:jc w:val="left"/>
      </w:pPr>
      <w:r>
        <w:rPr>
          <w:noProof/>
        </w:rPr>
        <mc:AlternateContent>
          <mc:Choice Requires="wps">
            <w:drawing>
              <wp:anchor distT="0" distB="0" distL="114300" distR="114300" simplePos="0" relativeHeight="251659264" behindDoc="0" locked="0" layoutInCell="1" allowOverlap="1" wp14:anchorId="17E9D445" wp14:editId="5D7D3915">
                <wp:simplePos x="0" y="0"/>
                <wp:positionH relativeFrom="column">
                  <wp:posOffset>1044575</wp:posOffset>
                </wp:positionH>
                <wp:positionV relativeFrom="paragraph">
                  <wp:posOffset>81915</wp:posOffset>
                </wp:positionV>
                <wp:extent cx="3261360" cy="266700"/>
                <wp:effectExtent l="0" t="0" r="34290" b="19050"/>
                <wp:wrapNone/>
                <wp:docPr id="54795650" name="Connecteur droit 1"/>
                <wp:cNvGraphicFramePr/>
                <a:graphic xmlns:a="http://schemas.openxmlformats.org/drawingml/2006/main">
                  <a:graphicData uri="http://schemas.microsoft.com/office/word/2010/wordprocessingShape">
                    <wps:wsp>
                      <wps:cNvCnPr/>
                      <wps:spPr>
                        <a:xfrm flipV="1">
                          <a:off x="0" y="0"/>
                          <a:ext cx="3261360" cy="2667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03B5C" id="Connecteur droit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2.25pt,6.45pt" to="339.0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" strokecolor="#4472c4 [3204]" strokeweight="1pt">
                <v:stroke joinstyle="miter"/>
              </v:line>
            </w:pict>
          </mc:Fallback>
        </mc:AlternateContent>
      </w:r>
    </w:p>
    <w:p w14:paraId="2216B15C" w14:textId="759B3956" w:rsidR="00FB1791" w:rsidRDefault="00FB1791" w:rsidP="00AA0522">
      <w:pPr>
        <w:spacing w:after="0" w:line="22" w:lineRule="atLeast"/>
        <w:ind w:left="1" w:right="0" w:firstLine="0"/>
        <w:jc w:val="left"/>
      </w:pPr>
      <w:r>
        <w:rPr>
          <w:noProof/>
        </w:rPr>
        <mc:AlternateContent>
          <mc:Choice Requires="wps">
            <w:drawing>
              <wp:anchor distT="0" distB="0" distL="114300" distR="114300" simplePos="0" relativeHeight="251662336" behindDoc="0" locked="0" layoutInCell="1" allowOverlap="1" wp14:anchorId="5EF38244" wp14:editId="7C646B66">
                <wp:simplePos x="0" y="0"/>
                <wp:positionH relativeFrom="column">
                  <wp:posOffset>3467735</wp:posOffset>
                </wp:positionH>
                <wp:positionV relativeFrom="paragraph">
                  <wp:posOffset>4445</wp:posOffset>
                </wp:positionV>
                <wp:extent cx="0" cy="864870"/>
                <wp:effectExtent l="0" t="0" r="38100" b="30480"/>
                <wp:wrapNone/>
                <wp:docPr id="388130269" name="Connecteur droit 2"/>
                <wp:cNvGraphicFramePr/>
                <a:graphic xmlns:a="http://schemas.openxmlformats.org/drawingml/2006/main">
                  <a:graphicData uri="http://schemas.microsoft.com/office/word/2010/wordprocessingShape">
                    <wps:wsp>
                      <wps:cNvCnPr/>
                      <wps:spPr>
                        <a:xfrm>
                          <a:off x="0" y="0"/>
                          <a:ext cx="0" cy="864870"/>
                        </a:xfrm>
                        <a:prstGeom prst="line">
                          <a:avLst/>
                        </a:prstGeom>
                        <a:ln w="190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A5175" id="Connecteur droit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3.05pt,.35pt" to="273.0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" strokecolor="red" strokeweight="1.5pt">
                <v:stroke dashstyle="dash" joinstyle="miter"/>
              </v:line>
            </w:pict>
          </mc:Fallback>
        </mc:AlternateContent>
      </w:r>
    </w:p>
    <w:p w14:paraId="765546FB" w14:textId="77777777" w:rsidR="00FB1791" w:rsidRDefault="00FB1791" w:rsidP="00AA0522">
      <w:pPr>
        <w:spacing w:after="0" w:line="22" w:lineRule="atLeast"/>
        <w:ind w:left="1" w:right="0" w:firstLine="0"/>
        <w:jc w:val="left"/>
      </w:pPr>
    </w:p>
    <w:p w14:paraId="62EA0E5E" w14:textId="77777777" w:rsidR="00FB1791" w:rsidRDefault="00FB1791" w:rsidP="00AA0522">
      <w:pPr>
        <w:spacing w:after="0" w:line="22" w:lineRule="atLeast"/>
        <w:ind w:left="1" w:right="0" w:firstLine="0"/>
        <w:jc w:val="left"/>
      </w:pPr>
    </w:p>
    <w:p w14:paraId="27B276B8" w14:textId="77777777" w:rsidR="00FB1791" w:rsidRDefault="00FB1791" w:rsidP="00AA0522">
      <w:pPr>
        <w:spacing w:after="0" w:line="22" w:lineRule="atLeast"/>
        <w:ind w:left="1" w:right="0" w:firstLine="0"/>
        <w:jc w:val="left"/>
      </w:pPr>
    </w:p>
    <w:p w14:paraId="6B3E19BB" w14:textId="77777777" w:rsidR="00FB1791" w:rsidRDefault="00FB1791" w:rsidP="00AA0522">
      <w:pPr>
        <w:spacing w:after="0" w:line="22" w:lineRule="atLeast"/>
        <w:ind w:left="1" w:right="0" w:firstLine="0"/>
        <w:jc w:val="left"/>
      </w:pPr>
    </w:p>
    <w:p w14:paraId="42BDA357" w14:textId="77777777" w:rsidR="00FB1791" w:rsidRDefault="00FB1791" w:rsidP="00AA0522">
      <w:pPr>
        <w:spacing w:after="0" w:line="22" w:lineRule="atLeast"/>
        <w:ind w:left="1" w:right="0" w:firstLine="0"/>
        <w:jc w:val="left"/>
      </w:pPr>
    </w:p>
    <w:p w14:paraId="52B51F17" w14:textId="2776EA19" w:rsidR="00FB1791" w:rsidRPr="00FB1791" w:rsidRDefault="00FB1791" w:rsidP="00AA0522">
      <w:pPr>
        <w:spacing w:after="0" w:line="22" w:lineRule="atLeast"/>
        <w:ind w:left="1" w:right="0" w:firstLine="0"/>
        <w:jc w:val="left"/>
      </w:pPr>
      <w:r>
        <w:tab/>
      </w:r>
      <w:r>
        <w:tab/>
      </w:r>
      <w:r>
        <w:tab/>
      </w:r>
      <w:r>
        <w:tab/>
      </w:r>
      <w:r>
        <w:tab/>
      </w:r>
      <w:r>
        <w:tab/>
      </w:r>
      <w:r>
        <w:tab/>
        <w:t xml:space="preserve">      </w:t>
      </w:r>
      <w:r>
        <w:rPr>
          <w:i/>
          <w:iCs/>
        </w:rPr>
        <w:t>V</w:t>
      </w:r>
      <w:r>
        <w:rPr>
          <w:vertAlign w:val="subscript"/>
        </w:rPr>
        <w:t>E</w:t>
      </w:r>
      <w:r>
        <w:t xml:space="preserve"> 16,2 mL</w:t>
      </w:r>
    </w:p>
    <w:p w14:paraId="26A7D6F9" w14:textId="23B9A584" w:rsidR="00FB1791" w:rsidRDefault="00FB1791" w:rsidP="00FB1791">
      <w:pPr>
        <w:spacing w:after="0" w:line="22" w:lineRule="atLeast"/>
        <w:ind w:left="1" w:right="0" w:firstLine="0"/>
      </w:pPr>
      <w:r>
        <w:t>On trace deux droites passant au plus près des points expérimentaux. Le volume équivalent correspond à l’abscisse de leur point d’intersection.</w:t>
      </w:r>
    </w:p>
    <w:p w14:paraId="027F9E71" w14:textId="3DE043CF" w:rsidR="00FB1791" w:rsidRPr="00FB1791" w:rsidRDefault="00FB1791" w:rsidP="00FB1791">
      <w:pPr>
        <w:spacing w:after="0" w:line="22" w:lineRule="atLeast"/>
        <w:ind w:left="1" w:right="0" w:firstLine="0"/>
      </w:pPr>
      <w:r>
        <w:t xml:space="preserve">On lit </w:t>
      </w:r>
      <w:r>
        <w:rPr>
          <w:i/>
          <w:iCs/>
        </w:rPr>
        <w:t>V</w:t>
      </w:r>
      <w:r>
        <w:rPr>
          <w:vertAlign w:val="subscript"/>
        </w:rPr>
        <w:t>E</w:t>
      </w:r>
      <w:r>
        <w:t xml:space="preserve"> = 16,2 mL.</w:t>
      </w:r>
    </w:p>
    <w:p w14:paraId="0243838A" w14:textId="1369AA41" w:rsidR="000355F3" w:rsidRPr="00411D91" w:rsidRDefault="00530F05" w:rsidP="00AA0522">
      <w:pPr>
        <w:spacing w:after="0" w:line="22" w:lineRule="atLeast"/>
        <w:ind w:left="-3" w:right="0"/>
        <w:rPr>
          <w:b/>
        </w:rPr>
      </w:pPr>
      <w:r w:rsidRPr="00411D91">
        <w:rPr>
          <w:b/>
        </w:rPr>
        <w:t xml:space="preserve">Q5. </w:t>
      </w:r>
      <w:r w:rsidRPr="00411D91">
        <w:rPr>
          <w:b/>
        </w:rPr>
        <w:t xml:space="preserve">Justifier que la solution contenue dans la chaufferette est sursaturée, c’est-à-dire que sa concentration en masse de soluté est supérieure à sa solubilité </w:t>
      </w:r>
      <w:r w:rsidRPr="00411D91">
        <w:rPr>
          <w:b/>
          <w:i/>
        </w:rPr>
        <w:t>s</w:t>
      </w:r>
      <w:r w:rsidRPr="00411D91">
        <w:rPr>
          <w:b/>
        </w:rPr>
        <w:t>.</w:t>
      </w:r>
    </w:p>
    <w:p w14:paraId="55C5A0BC" w14:textId="18D0218A" w:rsidR="00411D91" w:rsidRPr="004B5308" w:rsidRDefault="00411D91" w:rsidP="00411D91">
      <w:pPr>
        <w:spacing w:after="0" w:line="22" w:lineRule="atLeast"/>
        <w:ind w:left="-4" w:right="0"/>
        <w:jc w:val="left"/>
        <w:rPr>
          <w:b/>
          <w:bCs/>
        </w:rPr>
      </w:pPr>
      <w:r w:rsidRPr="004B5308">
        <w:rPr>
          <w:b/>
          <w:bCs/>
          <w:i/>
        </w:rPr>
        <w:t>Le candidat est invité à prendre des initiatives et à présenter la démarche suivie, même si elle n’a pas abouti.</w:t>
      </w:r>
      <w:r w:rsidR="004B5308">
        <w:rPr>
          <w:b/>
          <w:bCs/>
          <w:i/>
        </w:rPr>
        <w:t xml:space="preserve"> </w:t>
      </w:r>
      <w:r w:rsidRPr="004B5308">
        <w:rPr>
          <w:b/>
          <w:bCs/>
          <w:i/>
        </w:rPr>
        <w:t xml:space="preserve">La démarche est évaluée et doit être correctement présentée. </w:t>
      </w:r>
    </w:p>
    <w:p w14:paraId="389E33DA" w14:textId="77777777" w:rsidR="00530F05" w:rsidRDefault="00530F05" w:rsidP="00AA0522">
      <w:pPr>
        <w:spacing w:after="0" w:line="22" w:lineRule="atLeast"/>
        <w:ind w:left="-4" w:right="0"/>
        <w:jc w:val="left"/>
        <w:rPr>
          <w:iCs/>
        </w:rPr>
      </w:pPr>
    </w:p>
    <w:p w14:paraId="52C34AA0" w14:textId="5976AB80" w:rsidR="0053648B" w:rsidRDefault="00FB1791" w:rsidP="00AA0522">
      <w:pPr>
        <w:spacing w:after="0" w:line="22" w:lineRule="atLeast"/>
        <w:ind w:left="-4" w:right="0"/>
        <w:jc w:val="left"/>
        <w:rPr>
          <w:iCs/>
        </w:rPr>
      </w:pPr>
      <w:r>
        <w:rPr>
          <w:iCs/>
        </w:rPr>
        <w:t>On cherche la concentration en masse de la solution contenue dans la chaufferette.</w:t>
      </w:r>
    </w:p>
    <w:p w14:paraId="69455686" w14:textId="0061E82D" w:rsidR="00FB1791" w:rsidRDefault="00FB1791" w:rsidP="00AA0522">
      <w:pPr>
        <w:spacing w:after="0" w:line="22" w:lineRule="atLeast"/>
        <w:ind w:left="-4" w:right="0"/>
        <w:jc w:val="left"/>
        <w:rPr>
          <w:iCs/>
        </w:rPr>
      </w:pPr>
      <w:r>
        <w:rPr>
          <w:iCs/>
        </w:rPr>
        <w:t>À l’équivalence, les réactifs ont été introduits dans les proportions stœchiométriques.</w:t>
      </w:r>
    </w:p>
    <w:p w14:paraId="01F01367" w14:textId="48217465" w:rsidR="00FB1791" w:rsidRDefault="00FB1791" w:rsidP="00AA0522">
      <w:pPr>
        <w:spacing w:after="0" w:line="22" w:lineRule="atLeast"/>
        <w:ind w:left="-4" w:right="0"/>
        <w:jc w:val="left"/>
        <w:rPr>
          <w:iCs/>
        </w:rPr>
      </w:pPr>
      <w:r w:rsidRPr="00FB1791">
        <w:rPr>
          <w:iCs/>
          <w:position w:val="-18"/>
        </w:rPr>
        <w:object w:dxaOrig="2880" w:dyaOrig="420" w14:anchorId="279F3405">
          <v:shape id="_x0000_i1034" type="#_x0000_t75" style="width:2in;height:21pt" o:ole="">
            <v:imagedata r:id="rId8" o:title=""/>
          </v:shape>
          <o:OLEObject Type="Embed" ProgID="Equation.DSMT4" ShapeID="_x0000_i1034" DrawAspect="Content" ObjectID="_1761922430" r:id="rId9"/>
        </w:object>
      </w:r>
      <w:r>
        <w:rPr>
          <w:iCs/>
        </w:rPr>
        <w:t xml:space="preserve"> </w:t>
      </w:r>
    </w:p>
    <w:p w14:paraId="5E73184B" w14:textId="050BF05E" w:rsidR="00FB1791" w:rsidRDefault="00FB1791" w:rsidP="00AA0522">
      <w:pPr>
        <w:spacing w:after="0" w:line="22" w:lineRule="atLeast"/>
        <w:ind w:left="-4" w:right="0"/>
        <w:jc w:val="left"/>
        <w:rPr>
          <w:iCs/>
        </w:rPr>
      </w:pPr>
      <w:r>
        <w:rPr>
          <w:i/>
        </w:rPr>
        <w:t>C</w:t>
      </w:r>
      <w:r>
        <w:rPr>
          <w:iCs/>
        </w:rPr>
        <w:t>.</w:t>
      </w:r>
      <w:r>
        <w:rPr>
          <w:i/>
        </w:rPr>
        <w:t>V</w:t>
      </w:r>
      <w:r>
        <w:rPr>
          <w:iCs/>
          <w:vertAlign w:val="subscript"/>
        </w:rPr>
        <w:t>E</w:t>
      </w:r>
      <w:r>
        <w:rPr>
          <w:iCs/>
        </w:rPr>
        <w:t xml:space="preserve"> = </w:t>
      </w:r>
      <w:r w:rsidR="00770C8B">
        <w:rPr>
          <w:i/>
        </w:rPr>
        <w:t>C</w:t>
      </w:r>
      <w:r w:rsidR="00770C8B" w:rsidRPr="00770C8B">
        <w:rPr>
          <w:iCs/>
          <w:vertAlign w:val="subscript"/>
        </w:rPr>
        <w:t>S</w:t>
      </w:r>
      <w:r w:rsidR="00770C8B">
        <w:rPr>
          <w:iCs/>
        </w:rPr>
        <w:t>.</w:t>
      </w:r>
      <w:r w:rsidR="00770C8B">
        <w:rPr>
          <w:i/>
        </w:rPr>
        <w:t>V</w:t>
      </w:r>
      <w:r w:rsidR="00411D91">
        <w:rPr>
          <w:i/>
          <w:vertAlign w:val="subscript"/>
        </w:rPr>
        <w:t>S</w:t>
      </w:r>
    </w:p>
    <w:p w14:paraId="437929FB" w14:textId="30C0A3CE" w:rsidR="00411D91" w:rsidRDefault="00411D91" w:rsidP="00AA0522">
      <w:pPr>
        <w:spacing w:after="0" w:line="22" w:lineRule="atLeast"/>
        <w:ind w:left="-4" w:right="0"/>
        <w:jc w:val="left"/>
        <w:rPr>
          <w:iCs/>
        </w:rPr>
      </w:pPr>
      <w:r w:rsidRPr="00411D91">
        <w:rPr>
          <w:iCs/>
          <w:position w:val="-30"/>
        </w:rPr>
        <w:object w:dxaOrig="1100" w:dyaOrig="680" w14:anchorId="5E4EDE06">
          <v:shape id="_x0000_i1037" type="#_x0000_t75" style="width:55pt;height:34pt" o:ole="">
            <v:imagedata r:id="rId10" o:title=""/>
          </v:shape>
          <o:OLEObject Type="Embed" ProgID="Equation.DSMT4" ShapeID="_x0000_i1037" DrawAspect="Content" ObjectID="_1761922431" r:id="rId11"/>
        </w:object>
      </w:r>
      <w:r>
        <w:rPr>
          <w:iCs/>
        </w:rPr>
        <w:t xml:space="preserve"> </w:t>
      </w:r>
    </w:p>
    <w:p w14:paraId="09E4BEED" w14:textId="77777777" w:rsidR="00530F05" w:rsidRDefault="00411D91" w:rsidP="00AA0522">
      <w:pPr>
        <w:spacing w:after="0" w:line="22" w:lineRule="atLeast"/>
        <w:ind w:left="-4" w:right="0"/>
        <w:jc w:val="left"/>
        <w:rPr>
          <w:iCs/>
        </w:rPr>
      </w:pPr>
      <w:r>
        <w:rPr>
          <w:iCs/>
        </w:rPr>
        <w:t xml:space="preserve">La concentration en masse est liée à la concentration en quantité par la relation </w:t>
      </w:r>
      <w:r w:rsidR="00125E14" w:rsidRPr="00125E14">
        <w:rPr>
          <w:iCs/>
          <w:position w:val="-12"/>
        </w:rPr>
        <w:object w:dxaOrig="1260" w:dyaOrig="360" w14:anchorId="3E81C47B">
          <v:shape id="_x0000_i1048" type="#_x0000_t75" style="width:63pt;height:18pt" o:ole="">
            <v:imagedata r:id="rId12" o:title=""/>
          </v:shape>
          <o:OLEObject Type="Embed" ProgID="Equation.DSMT4" ShapeID="_x0000_i1048" DrawAspect="Content" ObjectID="_1761922432" r:id="rId13"/>
        </w:object>
      </w:r>
      <w:r w:rsidR="00125E14">
        <w:rPr>
          <w:iCs/>
        </w:rPr>
        <w:t xml:space="preserve"> </w:t>
      </w:r>
    </w:p>
    <w:p w14:paraId="10F2FF6D" w14:textId="283810AF" w:rsidR="00411D91" w:rsidRDefault="00125E14" w:rsidP="00AA0522">
      <w:pPr>
        <w:spacing w:after="0" w:line="22" w:lineRule="atLeast"/>
        <w:ind w:left="-4" w:right="0"/>
        <w:jc w:val="left"/>
        <w:rPr>
          <w:iCs/>
        </w:rPr>
      </w:pPr>
      <w:proofErr w:type="gramStart"/>
      <w:r>
        <w:rPr>
          <w:iCs/>
        </w:rPr>
        <w:t>donc</w:t>
      </w:r>
      <w:proofErr w:type="gramEnd"/>
      <w:r>
        <w:rPr>
          <w:iCs/>
        </w:rPr>
        <w:t xml:space="preserve"> </w:t>
      </w:r>
      <w:r w:rsidRPr="00411D91">
        <w:rPr>
          <w:iCs/>
          <w:position w:val="-30"/>
        </w:rPr>
        <w:object w:dxaOrig="1500" w:dyaOrig="680" w14:anchorId="74CE2C8D">
          <v:shape id="_x0000_i1050" type="#_x0000_t75" style="width:75pt;height:34pt" o:ole="">
            <v:imagedata r:id="rId14" o:title=""/>
          </v:shape>
          <o:OLEObject Type="Embed" ProgID="Equation.DSMT4" ShapeID="_x0000_i1050" DrawAspect="Content" ObjectID="_1761922433" r:id="rId15"/>
        </w:object>
      </w:r>
    </w:p>
    <w:p w14:paraId="5D477E1E" w14:textId="4062502F" w:rsidR="00411D91" w:rsidRDefault="00125E14" w:rsidP="00AA0522">
      <w:pPr>
        <w:spacing w:after="0" w:line="22" w:lineRule="atLeast"/>
        <w:ind w:left="-4" w:right="0"/>
        <w:jc w:val="left"/>
        <w:rPr>
          <w:i/>
        </w:rPr>
      </w:pPr>
      <w:r w:rsidRPr="00411D91">
        <w:rPr>
          <w:iCs/>
          <w:position w:val="-30"/>
        </w:rPr>
        <w:object w:dxaOrig="4540" w:dyaOrig="720" w14:anchorId="143743E6">
          <v:shape id="_x0000_i1052" type="#_x0000_t75" style="width:227pt;height:36pt" o:ole="">
            <v:imagedata r:id="rId16" o:title=""/>
          </v:shape>
          <o:OLEObject Type="Embed" ProgID="Equation.DSMT4" ShapeID="_x0000_i1052" DrawAspect="Content" ObjectID="_1761922434" r:id="rId17"/>
        </w:object>
      </w:r>
      <w:r>
        <w:rPr>
          <w:iCs/>
        </w:rPr>
        <w:t xml:space="preserve"> = </w:t>
      </w:r>
      <w:r w:rsidR="00FF5DC4">
        <w:rPr>
          <w:iCs/>
        </w:rPr>
        <w:t>26,568 g.L</w:t>
      </w:r>
      <w:r w:rsidR="00FF5DC4">
        <w:rPr>
          <w:iCs/>
          <w:vertAlign w:val="superscript"/>
        </w:rPr>
        <w:t>-1</w:t>
      </w:r>
      <w:r w:rsidR="00FF5DC4">
        <w:rPr>
          <w:iCs/>
        </w:rPr>
        <w:tab/>
      </w:r>
      <w:r w:rsidR="00FF5DC4" w:rsidRPr="00FF5DC4">
        <w:rPr>
          <w:i/>
        </w:rPr>
        <w:t>On n’arrondit pas ce résultat intermédiaire.</w:t>
      </w:r>
    </w:p>
    <w:p w14:paraId="3637F58E" w14:textId="7B81E9EB" w:rsidR="00FF5DC4" w:rsidRDefault="00FF5DC4" w:rsidP="00AA0522">
      <w:pPr>
        <w:spacing w:after="0" w:line="22" w:lineRule="atLeast"/>
        <w:ind w:left="-4" w:right="0"/>
        <w:jc w:val="left"/>
        <w:rPr>
          <w:iCs/>
        </w:rPr>
      </w:pPr>
      <w:r>
        <w:rPr>
          <w:iCs/>
        </w:rPr>
        <w:t xml:space="preserve">La solution </w:t>
      </w:r>
      <w:r>
        <w:rPr>
          <w:i/>
        </w:rPr>
        <w:t>S</w:t>
      </w:r>
      <w:r>
        <w:rPr>
          <w:iCs/>
        </w:rPr>
        <w:t xml:space="preserve"> était diluée d’un facteur 25, donc la solution de </w:t>
      </w:r>
      <w:r w:rsidR="00530F05">
        <w:rPr>
          <w:iCs/>
        </w:rPr>
        <w:t xml:space="preserve">la </w:t>
      </w:r>
      <w:r>
        <w:rPr>
          <w:iCs/>
        </w:rPr>
        <w:t>chaufferette est 25 fois plus concentrée.</w:t>
      </w:r>
    </w:p>
    <w:p w14:paraId="0A4FE04D" w14:textId="5386E413" w:rsidR="00FF5DC4" w:rsidRDefault="00FF5DC4" w:rsidP="00AA0522">
      <w:pPr>
        <w:spacing w:after="0" w:line="22" w:lineRule="atLeast"/>
        <w:ind w:left="-4" w:right="0"/>
        <w:jc w:val="left"/>
        <w:rPr>
          <w:iCs/>
        </w:rPr>
      </w:pPr>
      <w:proofErr w:type="spellStart"/>
      <w:r>
        <w:rPr>
          <w:i/>
        </w:rPr>
        <w:t>C</w:t>
      </w:r>
      <w:r>
        <w:rPr>
          <w:iCs/>
          <w:vertAlign w:val="subscript"/>
        </w:rPr>
        <w:t>mChaufferette</w:t>
      </w:r>
      <w:proofErr w:type="spellEnd"/>
      <w:r>
        <w:rPr>
          <w:iCs/>
        </w:rPr>
        <w:t xml:space="preserve"> = </w:t>
      </w:r>
      <w:proofErr w:type="gramStart"/>
      <w:r>
        <w:rPr>
          <w:iCs/>
        </w:rPr>
        <w:t>25.</w:t>
      </w:r>
      <w:r>
        <w:rPr>
          <w:i/>
        </w:rPr>
        <w:t>C</w:t>
      </w:r>
      <w:r>
        <w:rPr>
          <w:iCs/>
          <w:vertAlign w:val="subscript"/>
        </w:rPr>
        <w:t>mS</w:t>
      </w:r>
      <w:proofErr w:type="gramEnd"/>
    </w:p>
    <w:p w14:paraId="0D044780" w14:textId="33B653E1" w:rsidR="00FF5DC4" w:rsidRDefault="00FF5DC4" w:rsidP="00AA0522">
      <w:pPr>
        <w:spacing w:after="0" w:line="22" w:lineRule="atLeast"/>
        <w:ind w:left="-4" w:right="0"/>
        <w:jc w:val="left"/>
        <w:rPr>
          <w:iCs/>
        </w:rPr>
      </w:pPr>
      <w:proofErr w:type="spellStart"/>
      <w:r>
        <w:rPr>
          <w:i/>
        </w:rPr>
        <w:t>C</w:t>
      </w:r>
      <w:r>
        <w:rPr>
          <w:iCs/>
          <w:vertAlign w:val="subscript"/>
        </w:rPr>
        <w:t>mChaufferette</w:t>
      </w:r>
      <w:proofErr w:type="spellEnd"/>
      <w:r>
        <w:rPr>
          <w:iCs/>
        </w:rPr>
        <w:t xml:space="preserve"> =</w:t>
      </w:r>
      <w:r>
        <w:rPr>
          <w:iCs/>
        </w:rPr>
        <w:t xml:space="preserve"> 25×26,568 = 664,2 g.L</w:t>
      </w:r>
      <w:r>
        <w:rPr>
          <w:iCs/>
          <w:vertAlign w:val="superscript"/>
        </w:rPr>
        <w:t>1</w:t>
      </w:r>
      <w:r>
        <w:rPr>
          <w:iCs/>
        </w:rPr>
        <w:t xml:space="preserve"> = 6,6×10</w:t>
      </w:r>
      <w:r>
        <w:rPr>
          <w:iCs/>
          <w:vertAlign w:val="superscript"/>
        </w:rPr>
        <w:t>2</w:t>
      </w:r>
      <w:r>
        <w:rPr>
          <w:iCs/>
        </w:rPr>
        <w:t xml:space="preserve"> g.L</w:t>
      </w:r>
      <w:r>
        <w:rPr>
          <w:iCs/>
          <w:vertAlign w:val="superscript"/>
        </w:rPr>
        <w:t>-1</w:t>
      </w:r>
    </w:p>
    <w:p w14:paraId="078583C0" w14:textId="2B97679B" w:rsidR="00792009" w:rsidRPr="00792009" w:rsidRDefault="00792009" w:rsidP="00AA0522">
      <w:pPr>
        <w:spacing w:after="0" w:line="22" w:lineRule="atLeast"/>
        <w:ind w:left="-4" w:right="0"/>
        <w:jc w:val="left"/>
        <w:rPr>
          <w:iCs/>
        </w:rPr>
      </w:pPr>
      <w:r>
        <w:rPr>
          <w:iCs/>
        </w:rPr>
        <w:t xml:space="preserve">Cette concentration est largement supérieure à la solubilité </w:t>
      </w:r>
      <w:r>
        <w:rPr>
          <w:i/>
        </w:rPr>
        <w:t>s</w:t>
      </w:r>
      <w:r>
        <w:rPr>
          <w:iCs/>
        </w:rPr>
        <w:t xml:space="preserve"> = 365 g.L</w:t>
      </w:r>
      <w:r>
        <w:rPr>
          <w:iCs/>
          <w:vertAlign w:val="superscript"/>
        </w:rPr>
        <w:t>-1</w:t>
      </w:r>
      <w:r>
        <w:rPr>
          <w:iCs/>
        </w:rPr>
        <w:t>, ce qui confirme que la solution est sursaturée.</w:t>
      </w:r>
    </w:p>
    <w:sectPr w:rsidR="00792009" w:rsidRPr="00792009" w:rsidSect="00AA0522">
      <w:pgSz w:w="11906" w:h="16838" w:code="9"/>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52B"/>
    <w:multiLevelType w:val="hybridMultilevel"/>
    <w:tmpl w:val="53486C10"/>
    <w:lvl w:ilvl="0" w:tplc="1BF0486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60AAD2">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82B6EE">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A46A1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28E5C2">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7C7BB0">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9805B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30F496">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248EBC">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46445B"/>
    <w:multiLevelType w:val="hybridMultilevel"/>
    <w:tmpl w:val="315045A6"/>
    <w:lvl w:ilvl="0" w:tplc="6E9823F6">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722BA0C">
      <w:start w:val="1"/>
      <w:numFmt w:val="bullet"/>
      <w:lvlText w:val="o"/>
      <w:lvlJc w:val="left"/>
      <w:pPr>
        <w:ind w:left="1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B2E1DE4">
      <w:start w:val="1"/>
      <w:numFmt w:val="bullet"/>
      <w:lvlText w:val="▪"/>
      <w:lvlJc w:val="left"/>
      <w:pPr>
        <w:ind w:left="2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3D65B00">
      <w:start w:val="1"/>
      <w:numFmt w:val="bullet"/>
      <w:lvlText w:val="•"/>
      <w:lvlJc w:val="left"/>
      <w:pPr>
        <w:ind w:left="29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24C9406">
      <w:start w:val="1"/>
      <w:numFmt w:val="bullet"/>
      <w:lvlText w:val="o"/>
      <w:lvlJc w:val="left"/>
      <w:pPr>
        <w:ind w:left="36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8A21C4E">
      <w:start w:val="1"/>
      <w:numFmt w:val="bullet"/>
      <w:lvlText w:val="▪"/>
      <w:lvlJc w:val="left"/>
      <w:pPr>
        <w:ind w:left="43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3D4F1E4">
      <w:start w:val="1"/>
      <w:numFmt w:val="bullet"/>
      <w:lvlText w:val="•"/>
      <w:lvlJc w:val="left"/>
      <w:pPr>
        <w:ind w:left="51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6766324">
      <w:start w:val="1"/>
      <w:numFmt w:val="bullet"/>
      <w:lvlText w:val="o"/>
      <w:lvlJc w:val="left"/>
      <w:pPr>
        <w:ind w:left="58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9E8DEEA">
      <w:start w:val="1"/>
      <w:numFmt w:val="bullet"/>
      <w:lvlText w:val="▪"/>
      <w:lvlJc w:val="left"/>
      <w:pPr>
        <w:ind w:left="6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917443473">
    <w:abstractNumId w:val="1"/>
  </w:num>
  <w:num w:numId="2" w16cid:durableId="845481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F3"/>
    <w:rsid w:val="000231BF"/>
    <w:rsid w:val="000355F3"/>
    <w:rsid w:val="000E0D61"/>
    <w:rsid w:val="001159D5"/>
    <w:rsid w:val="00125E14"/>
    <w:rsid w:val="00155397"/>
    <w:rsid w:val="002632A4"/>
    <w:rsid w:val="00411D91"/>
    <w:rsid w:val="00466D79"/>
    <w:rsid w:val="004B5308"/>
    <w:rsid w:val="00530F05"/>
    <w:rsid w:val="0053648B"/>
    <w:rsid w:val="006D3BDD"/>
    <w:rsid w:val="00770C8B"/>
    <w:rsid w:val="00792009"/>
    <w:rsid w:val="007B2BEE"/>
    <w:rsid w:val="00AA0522"/>
    <w:rsid w:val="00BB11C7"/>
    <w:rsid w:val="00CF4156"/>
    <w:rsid w:val="00ED5FC4"/>
    <w:rsid w:val="00FB1791"/>
    <w:rsid w:val="00FF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696A"/>
  <w15:docId w15:val="{CA706734-2372-4E53-A577-741B3FEF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1" w:right="3569" w:hanging="10"/>
      <w:jc w:val="both"/>
    </w:pPr>
    <w:rPr>
      <w:rFonts w:ascii="Arial" w:eastAsia="Arial" w:hAnsi="Arial" w:cs="Arial"/>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750</Words>
  <Characters>4127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CLEMENT</dc:creator>
  <cp:keywords/>
  <cp:lastModifiedBy>Jocelyn CLEMENT</cp:lastModifiedBy>
  <cp:revision>15</cp:revision>
  <cp:lastPrinted>2023-11-19T16:33:00Z</cp:lastPrinted>
  <dcterms:created xsi:type="dcterms:W3CDTF">2023-11-19T16:34:00Z</dcterms:created>
  <dcterms:modified xsi:type="dcterms:W3CDTF">2023-11-19T17:07:00Z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