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4405" w14:textId="307689EF" w:rsidR="0065046C" w:rsidRPr="00DA20AB" w:rsidRDefault="00C46771" w:rsidP="00DA2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03"/>
          <w:tab w:val="right" w:pos="102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A20AB">
        <w:rPr>
          <w:rFonts w:ascii="Arial" w:hAnsi="Arial" w:cs="Arial"/>
          <w:b/>
          <w:bCs/>
        </w:rPr>
        <w:t>Bac Spécialité Physique-Chimie</w:t>
      </w:r>
      <w:r w:rsidRPr="00DA20AB">
        <w:rPr>
          <w:rFonts w:ascii="Arial" w:hAnsi="Arial" w:cs="Arial"/>
          <w:b/>
          <w:bCs/>
        </w:rPr>
        <w:tab/>
        <w:t>Amérique du sud 2022</w:t>
      </w:r>
      <w:r w:rsidRPr="00DA20AB">
        <w:rPr>
          <w:rFonts w:ascii="Arial" w:hAnsi="Arial" w:cs="Arial"/>
          <w:b/>
          <w:bCs/>
        </w:rPr>
        <w:tab/>
      </w:r>
      <w:hyperlink r:id="rId4" w:history="1">
        <w:r w:rsidR="00DA20AB" w:rsidRPr="00600E33">
          <w:rPr>
            <w:rStyle w:val="Lienhypertexte"/>
            <w:rFonts w:ascii="Arial" w:hAnsi="Arial" w:cs="Arial"/>
            <w:b/>
            <w:bCs/>
          </w:rPr>
          <w:t>https://labolycee.org</w:t>
        </w:r>
      </w:hyperlink>
      <w:r w:rsidR="00DA20AB">
        <w:rPr>
          <w:rFonts w:ascii="Arial" w:hAnsi="Arial" w:cs="Arial"/>
          <w:b/>
          <w:bCs/>
        </w:rPr>
        <w:t xml:space="preserve"> </w:t>
      </w:r>
    </w:p>
    <w:p w14:paraId="617B5572" w14:textId="77777777" w:rsidR="0065046C" w:rsidRDefault="0065046C" w:rsidP="00DA2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389EA41" w14:textId="29BDC6A6" w:rsidR="0065046C" w:rsidRDefault="00C46771" w:rsidP="00DA2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EXERCICE A </w:t>
      </w:r>
      <w:r w:rsidR="00DA20AB">
        <w:rPr>
          <w:rFonts w:ascii="Arial" w:hAnsi="Arial" w:cs="Arial"/>
          <w:b/>
          <w:bCs/>
          <w:caps/>
        </w:rPr>
        <w:t>le PLA ou Acide polylactique</w:t>
      </w:r>
      <w:r w:rsidR="00DA20A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(5 points)</w:t>
      </w:r>
    </w:p>
    <w:p w14:paraId="6CEC9268" w14:textId="77777777" w:rsidR="0065046C" w:rsidRDefault="0065046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94CB3B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034567CF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18AC2DB8" w14:textId="77777777" w:rsidR="0065046C" w:rsidRDefault="00C467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PLA ou acide polylactique est un polymère dont la demande est croissante. Il est utilisé dans le secteur des </w:t>
      </w:r>
      <w:r>
        <w:rPr>
          <w:rFonts w:ascii="Arial" w:hAnsi="Arial" w:cs="Arial"/>
        </w:rPr>
        <w:t>emballages, des fibres, de la vaisselle jetable ou encore dans les matériaux d’impression pour les imprimantes 3D.</w:t>
      </w:r>
    </w:p>
    <w:p w14:paraId="2062A432" w14:textId="77777777" w:rsidR="0065046C" w:rsidRDefault="00C467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est souvent biosourcé car obtenu à partir de ressources renouvelables (amidon de maïs) et peut remplacer avantageusement de nombreux polymères pétrosourcés, car il possède des propriétés similaires à celles du PS (polystyrène) ou du PET (polyéthylène téréphtalate). De plus son recyclage chimique est possible. Il peut donc être une alternative à la pollution des milieux naturels par les plastiques.</w:t>
      </w:r>
    </w:p>
    <w:p w14:paraId="0341CD10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0E648973" w14:textId="77777777" w:rsidR="0065046C" w:rsidRDefault="00C467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La molécule d’acide lactique</w:t>
      </w:r>
    </w:p>
    <w:p w14:paraId="41F9C1D1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258D52E2" w14:textId="77777777" w:rsidR="0065046C" w:rsidRDefault="00C46771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On donne la formule topologique de la molécule d’acide lactique :</w:t>
      </w:r>
    </w:p>
    <w:p w14:paraId="39B1676B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65D93A01" w14:textId="77777777" w:rsidR="0065046C" w:rsidRDefault="00C46771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CCDEEA3" wp14:editId="6348C478">
            <wp:extent cx="1054735" cy="933450"/>
            <wp:effectExtent l="0" t="0" r="0" b="0"/>
            <wp:docPr id="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12CD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7A452586" w14:textId="77777777" w:rsidR="0065046C" w:rsidRDefault="00C46771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1.1.</w:t>
      </w:r>
      <w:r>
        <w:rPr>
          <w:rFonts w:ascii="Arial" w:hAnsi="Arial" w:cs="Arial"/>
        </w:rPr>
        <w:tab/>
        <w:t>Dans la nomenclature officielle, l’acide lactique se nomme acide 2-hydroxypropanoïque. Justifier ce nom.</w:t>
      </w:r>
    </w:p>
    <w:p w14:paraId="49BD8AD4" w14:textId="77777777" w:rsidR="0065046C" w:rsidRDefault="0065046C">
      <w:pPr>
        <w:ind w:left="567" w:hanging="567"/>
      </w:pPr>
    </w:p>
    <w:p w14:paraId="0783B851" w14:textId="77777777" w:rsidR="0065046C" w:rsidRDefault="00C46771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1.2.</w:t>
      </w:r>
      <w:r>
        <w:rPr>
          <w:rFonts w:ascii="Arial" w:hAnsi="Arial" w:cs="Arial"/>
        </w:rPr>
        <w:tab/>
        <w:t xml:space="preserve">Écrire le couple acide </w:t>
      </w:r>
      <w:r>
        <w:rPr>
          <w:rFonts w:ascii="Arial" w:hAnsi="Arial" w:cs="Arial"/>
        </w:rPr>
        <w:t>base associé à l’acide lactique en utilisant les schémas de Lewis.</w:t>
      </w:r>
    </w:p>
    <w:p w14:paraId="6342B1F9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10B2804A" w14:textId="262D4628" w:rsidR="0065046C" w:rsidRDefault="00C467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solution d’acide lactique de concentration en soluté apporté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2,0 </w:t>
      </w:r>
      <w:r w:rsidR="0020742A">
        <w:rPr>
          <w:rFonts w:ascii="Arial" w:hAnsi="Arial" w:cs="Arial"/>
        </w:rPr>
        <w:t>×</w:t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>–2</w:t>
      </w:r>
      <w:r>
        <w:rPr>
          <w:rFonts w:ascii="Arial" w:hAnsi="Arial" w:cs="Arial"/>
        </w:rPr>
        <w:t xml:space="preserve"> mol·L</w:t>
      </w:r>
      <w:r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 xml:space="preserve"> a un pH égal à 2,8.</w:t>
      </w:r>
    </w:p>
    <w:p w14:paraId="2AF060C4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62BCF66C" w14:textId="77777777" w:rsidR="0065046C" w:rsidRDefault="00C46771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1.3.</w:t>
      </w:r>
      <w:r>
        <w:rPr>
          <w:rFonts w:ascii="Arial" w:hAnsi="Arial" w:cs="Arial"/>
        </w:rPr>
        <w:tab/>
        <w:t>Indiquer si, dans ces conditions expérimentales, cet acide est fort ou faible. Justifier.</w:t>
      </w:r>
    </w:p>
    <w:p w14:paraId="0646886C" w14:textId="77777777" w:rsidR="0065046C" w:rsidRDefault="0065046C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5AEC3C06" w14:textId="77777777" w:rsidR="0065046C" w:rsidRDefault="00C4677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1.4.</w:t>
      </w:r>
      <w:r>
        <w:rPr>
          <w:rFonts w:ascii="Arial" w:hAnsi="Arial" w:cs="Arial"/>
        </w:rPr>
        <w:tab/>
        <w:t>Écrire l’équation de la réaction qui modélise la transformation chimique entre l’acide lactique et l’eau, en notant AH l’acide lactique.</w:t>
      </w:r>
    </w:p>
    <w:p w14:paraId="33C79323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0A648135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4CBD796A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1BE7A2F7" w14:textId="77777777" w:rsidR="0065046C" w:rsidRDefault="00C467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Synthèse de l’acide polylactique (PLA)</w:t>
      </w:r>
    </w:p>
    <w:p w14:paraId="20638DD6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264515BF" w14:textId="77777777" w:rsidR="0065046C" w:rsidRDefault="00C467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L’une des méthodes suivies pour la polymérisation industrielle de l’acide lactique utilise une réaction de type :</w:t>
      </w:r>
    </w:p>
    <w:p w14:paraId="43601368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57D56082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2FE4525D" w14:textId="77777777" w:rsidR="0065046C" w:rsidRDefault="00C467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6" behindDoc="0" locked="0" layoutInCell="0" allowOverlap="1" wp14:anchorId="79A626F4" wp14:editId="7631460A">
            <wp:simplePos x="0" y="0"/>
            <wp:positionH relativeFrom="column">
              <wp:posOffset>837565</wp:posOffset>
            </wp:positionH>
            <wp:positionV relativeFrom="paragraph">
              <wp:posOffset>17780</wp:posOffset>
            </wp:positionV>
            <wp:extent cx="4203700" cy="770890"/>
            <wp:effectExtent l="0" t="0" r="0" b="0"/>
            <wp:wrapNone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88C47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456A7F79" w14:textId="77777777" w:rsidR="0065046C" w:rsidRDefault="00C46771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</w:p>
    <w:p w14:paraId="21A90C37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6D4669DA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4157C229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5EC0835F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1A7CC39B" w14:textId="77777777" w:rsidR="0065046C" w:rsidRDefault="00C46771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où</w:t>
      </w:r>
      <w:proofErr w:type="gramEnd"/>
      <w:r>
        <w:rPr>
          <w:rFonts w:ascii="Arial" w:hAnsi="Arial" w:cs="Arial"/>
        </w:rPr>
        <w:t xml:space="preserve"> R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et 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sont des groupes alkyles.</w:t>
      </w:r>
    </w:p>
    <w:p w14:paraId="3F68E0F5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358AF411" w14:textId="77777777" w:rsidR="0065046C" w:rsidRDefault="00C46771">
      <w:pPr>
        <w:spacing w:after="0" w:line="240" w:lineRule="auto"/>
        <w:jc w:val="both"/>
        <w:rPr>
          <w:rFonts w:ascii="Arial" w:hAnsi="Arial" w:cs="Arial"/>
        </w:rPr>
      </w:pPr>
      <w:r>
        <w:br w:type="page"/>
      </w:r>
    </w:p>
    <w:p w14:paraId="2EC1FA95" w14:textId="77777777" w:rsidR="0065046C" w:rsidRDefault="00C4677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2.1.</w:t>
      </w:r>
      <w:r>
        <w:rPr>
          <w:rFonts w:ascii="Arial" w:hAnsi="Arial" w:cs="Arial"/>
        </w:rPr>
        <w:tab/>
        <w:t>Citer la famille fonctionnelle à laquelle appartient le produit organique formé.</w:t>
      </w:r>
    </w:p>
    <w:p w14:paraId="62B6E7C4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1DE6288A" w14:textId="77777777" w:rsidR="0065046C" w:rsidRDefault="00C467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molécules d’acide lactique réagissent entre </w:t>
      </w:r>
      <w:r>
        <w:rPr>
          <w:rFonts w:ascii="Arial" w:hAnsi="Arial" w:cs="Arial"/>
        </w:rPr>
        <w:t>elles en chaîne selon l’équation de la réaction (1) et forment le PLA dont le début de la chaîne est représenté ci-après :</w:t>
      </w:r>
    </w:p>
    <w:p w14:paraId="21AE03E9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2BD8C9F4" w14:textId="77777777" w:rsidR="0065046C" w:rsidRDefault="00C46771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B58E0F2" wp14:editId="7BBA92BB">
            <wp:extent cx="6470650" cy="1130300"/>
            <wp:effectExtent l="0" t="0" r="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853FB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3E4AA2D2" w14:textId="77777777" w:rsidR="0065046C" w:rsidRDefault="00C4677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2.2.</w:t>
      </w:r>
      <w:r>
        <w:rPr>
          <w:rFonts w:ascii="Arial" w:hAnsi="Arial" w:cs="Arial"/>
        </w:rPr>
        <w:tab/>
        <w:t>Parmi les groupements d’atomes encadrés, indiquer celui qui correspond au motif du polymère obtenu.</w:t>
      </w:r>
    </w:p>
    <w:p w14:paraId="50551593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6B298696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331D0EB2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7CC99335" w14:textId="77777777" w:rsidR="0065046C" w:rsidRDefault="00C467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ab/>
        <w:t>Dégradation de l’acide polylactique (PLA)</w:t>
      </w:r>
    </w:p>
    <w:p w14:paraId="5C216292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07CF60DF" w14:textId="77777777" w:rsidR="0065046C" w:rsidRDefault="00C467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Une dépolymérisation du PLA consiste à faire réagir le polymère avec du méthanol. Le PLA est ainsi transformé en lactate de méthyle. Celui-ci peut ensuite être transformé en lactide, pouvant reconduire ultérieurement au polymère, dans la perspective du recyclage du PLA.</w:t>
      </w:r>
    </w:p>
    <w:p w14:paraId="39C3F8B8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2E297D0B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08AECC71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34E5BC6E" w14:textId="77777777" w:rsidR="0065046C" w:rsidRDefault="00C46771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F9C0293" wp14:editId="5F1B97F1">
            <wp:extent cx="3594100" cy="2281555"/>
            <wp:effectExtent l="0" t="0" r="0" b="0"/>
            <wp:docPr id="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A9655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35E63AEF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5C6FA6A2" w14:textId="77777777" w:rsidR="0065046C" w:rsidRDefault="00C46771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D’après Industrial &amp; Engineering Chemistry Research</w:t>
      </w:r>
    </w:p>
    <w:p w14:paraId="42587D74" w14:textId="77777777" w:rsidR="0065046C" w:rsidRDefault="00C46771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u w:val="single"/>
        </w:rPr>
      </w:pPr>
      <w:r>
        <w:rPr>
          <w:rFonts w:ascii="Arial" w:hAnsi="Arial" w:cs="Arial"/>
          <w:i/>
          <w:iCs/>
          <w:sz w:val="18"/>
          <w:szCs w:val="18"/>
          <w:u w:val="single"/>
        </w:rPr>
        <w:t>https://pubs.acs.org/doi/10.1021/acs.iecr.0c01122#</w:t>
      </w:r>
    </w:p>
    <w:p w14:paraId="57D1947F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1E3A9F4F" w14:textId="77777777" w:rsidR="0065046C" w:rsidRDefault="00C46771">
      <w:pPr>
        <w:spacing w:after="0" w:line="240" w:lineRule="auto"/>
        <w:jc w:val="both"/>
        <w:rPr>
          <w:rFonts w:ascii="Arial" w:hAnsi="Arial" w:cs="Arial"/>
        </w:rPr>
      </w:pPr>
      <w:r>
        <w:br w:type="page"/>
      </w:r>
    </w:p>
    <w:p w14:paraId="49FE6500" w14:textId="77777777" w:rsidR="0065046C" w:rsidRDefault="00C467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dépolymérisation du PLA est réalisée à différentes températures : 70 °C, 90 °C et 110 °C. On </w:t>
      </w:r>
      <w:r>
        <w:rPr>
          <w:rFonts w:ascii="Arial" w:hAnsi="Arial" w:cs="Arial"/>
        </w:rPr>
        <w:t>obtient les courbes suivantes :</w:t>
      </w:r>
    </w:p>
    <w:p w14:paraId="3F759FE5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1E83E770" w14:textId="77777777" w:rsidR="0065046C" w:rsidRDefault="00C46771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0A0F0E3" wp14:editId="7946035C">
            <wp:extent cx="6477000" cy="38227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285F5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09E9F2C8" w14:textId="77777777" w:rsidR="0065046C" w:rsidRDefault="00C4677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Figure 1. Étude de la dégradation chimique du PLA</w:t>
      </w:r>
    </w:p>
    <w:p w14:paraId="6F138FE9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5C84D2C2" w14:textId="77777777" w:rsidR="0065046C" w:rsidRDefault="00C467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3.1.</w:t>
      </w:r>
      <w:r>
        <w:rPr>
          <w:rFonts w:ascii="Arial" w:hAnsi="Arial" w:cs="Arial"/>
        </w:rPr>
        <w:tab/>
        <w:t xml:space="preserve">Attribuer à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et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la valeur de température correspondante. Justifier.</w:t>
      </w:r>
    </w:p>
    <w:p w14:paraId="6E9632B7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1324994F" w14:textId="77777777" w:rsidR="0065046C" w:rsidRDefault="00C467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3.2.</w:t>
      </w:r>
      <w:r>
        <w:rPr>
          <w:rFonts w:ascii="Arial" w:hAnsi="Arial" w:cs="Arial"/>
        </w:rPr>
        <w:tab/>
        <w:t xml:space="preserve">L’exploitation de la courbe obtenue à la température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permet d’obtenir les résultats suivants :</w:t>
      </w:r>
    </w:p>
    <w:p w14:paraId="7E1A24DE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10195" w:type="dxa"/>
        <w:tblLayout w:type="fixed"/>
        <w:tblLook w:val="04A0" w:firstRow="1" w:lastRow="0" w:firstColumn="1" w:lastColumn="0" w:noHBand="0" w:noVBand="1"/>
      </w:tblPr>
      <w:tblGrid>
        <w:gridCol w:w="2690"/>
        <w:gridCol w:w="1501"/>
        <w:gridCol w:w="1501"/>
        <w:gridCol w:w="1501"/>
        <w:gridCol w:w="1502"/>
        <w:gridCol w:w="1500"/>
      </w:tblGrid>
      <w:tr w:rsidR="0065046C" w14:paraId="251877A7" w14:textId="77777777">
        <w:trPr>
          <w:trHeight w:val="355"/>
        </w:trPr>
        <w:tc>
          <w:tcPr>
            <w:tcW w:w="2689" w:type="dxa"/>
            <w:vAlign w:val="center"/>
          </w:tcPr>
          <w:p w14:paraId="4C054931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Date </w:t>
            </w:r>
            <w:r>
              <w:rPr>
                <w:rFonts w:ascii="Arial" w:eastAsia="Calibri" w:hAnsi="Arial" w:cs="Arial"/>
                <w:i/>
                <w:iCs/>
              </w:rPr>
              <w:t>t</w:t>
            </w:r>
            <w:r>
              <w:rPr>
                <w:rFonts w:ascii="Arial" w:eastAsia="Calibri" w:hAnsi="Arial" w:cs="Arial"/>
              </w:rPr>
              <w:t xml:space="preserve"> (min)</w:t>
            </w:r>
          </w:p>
        </w:tc>
        <w:tc>
          <w:tcPr>
            <w:tcW w:w="1501" w:type="dxa"/>
            <w:vAlign w:val="center"/>
          </w:tcPr>
          <w:p w14:paraId="01D5B00D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01" w:type="dxa"/>
            <w:vAlign w:val="center"/>
          </w:tcPr>
          <w:p w14:paraId="7DCF8EA1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E9FA144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  <w:tc>
          <w:tcPr>
            <w:tcW w:w="1502" w:type="dxa"/>
            <w:vAlign w:val="center"/>
          </w:tcPr>
          <w:p w14:paraId="6CFA71F6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60</w:t>
            </w:r>
          </w:p>
        </w:tc>
        <w:tc>
          <w:tcPr>
            <w:tcW w:w="1500" w:type="dxa"/>
            <w:vAlign w:val="center"/>
          </w:tcPr>
          <w:p w14:paraId="5EF2D66A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80</w:t>
            </w:r>
          </w:p>
        </w:tc>
      </w:tr>
      <w:tr w:rsidR="0065046C" w14:paraId="51FF5C79" w14:textId="77777777">
        <w:trPr>
          <w:trHeight w:val="417"/>
        </w:trPr>
        <w:tc>
          <w:tcPr>
            <w:tcW w:w="2689" w:type="dxa"/>
            <w:vAlign w:val="center"/>
          </w:tcPr>
          <w:p w14:paraId="36B2FEA9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742A">
              <w:rPr>
                <w:rFonts w:ascii="Arial" w:eastAsia="Calibri" w:hAnsi="Arial" w:cs="Arial"/>
              </w:rPr>
              <w:t>[</w:t>
            </w:r>
            <w:r>
              <w:rPr>
                <w:rFonts w:ascii="Arial" w:eastAsia="Calibri" w:hAnsi="Arial" w:cs="Arial"/>
                <w:i/>
                <w:iCs/>
              </w:rPr>
              <w:t>PLA</w:t>
            </w:r>
            <w:r w:rsidRPr="0020742A">
              <w:rPr>
                <w:rFonts w:ascii="Arial" w:eastAsia="Calibri" w:hAnsi="Arial" w:cs="Arial"/>
              </w:rPr>
              <w:t>]</w:t>
            </w:r>
            <w:r>
              <w:rPr>
                <w:rFonts w:ascii="Arial" w:eastAsia="Calibri" w:hAnsi="Arial" w:cs="Arial"/>
              </w:rPr>
              <w:t xml:space="preserve"> (mol·L</w:t>
            </w:r>
            <w:r>
              <w:rPr>
                <w:rFonts w:ascii="Arial" w:eastAsia="Calibri" w:hAnsi="Arial" w:cs="Arial"/>
                <w:vertAlign w:val="superscript"/>
              </w:rPr>
              <w:t>–1</w:t>
            </w:r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1501" w:type="dxa"/>
            <w:vAlign w:val="center"/>
          </w:tcPr>
          <w:p w14:paraId="0BE06DB1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1,0 × 10</w:t>
            </w:r>
            <w:r>
              <w:rPr>
                <w:rFonts w:ascii="Arial" w:eastAsia="Calibri" w:hAnsi="Arial" w:cs="Arial"/>
                <w:vertAlign w:val="superscript"/>
              </w:rPr>
              <w:t>–3</w:t>
            </w:r>
          </w:p>
        </w:tc>
        <w:tc>
          <w:tcPr>
            <w:tcW w:w="1501" w:type="dxa"/>
            <w:vAlign w:val="center"/>
          </w:tcPr>
          <w:p w14:paraId="3BDCE00A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5,6 × 10</w:t>
            </w:r>
            <w:r>
              <w:rPr>
                <w:rFonts w:ascii="Arial" w:eastAsia="Calibri" w:hAnsi="Arial" w:cs="Arial"/>
                <w:vertAlign w:val="superscript"/>
              </w:rPr>
              <w:t>–4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38BB714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3,2 × 10</w:t>
            </w:r>
            <w:r>
              <w:rPr>
                <w:rFonts w:ascii="Arial" w:eastAsia="Calibri" w:hAnsi="Arial" w:cs="Arial"/>
                <w:vertAlign w:val="superscript"/>
              </w:rPr>
              <w:t>–4</w:t>
            </w:r>
          </w:p>
        </w:tc>
        <w:tc>
          <w:tcPr>
            <w:tcW w:w="1502" w:type="dxa"/>
            <w:vAlign w:val="center"/>
          </w:tcPr>
          <w:p w14:paraId="41FB2CC4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1,8 × 10</w:t>
            </w:r>
            <w:r>
              <w:rPr>
                <w:rFonts w:ascii="Arial" w:eastAsia="Calibri" w:hAnsi="Arial" w:cs="Arial"/>
                <w:vertAlign w:val="superscript"/>
              </w:rPr>
              <w:t>–4</w:t>
            </w:r>
          </w:p>
        </w:tc>
        <w:tc>
          <w:tcPr>
            <w:tcW w:w="1500" w:type="dxa"/>
            <w:vAlign w:val="center"/>
          </w:tcPr>
          <w:p w14:paraId="5BF14560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1,0 × 10</w:t>
            </w:r>
            <w:r>
              <w:rPr>
                <w:rFonts w:ascii="Arial" w:eastAsia="Calibri" w:hAnsi="Arial" w:cs="Arial"/>
                <w:vertAlign w:val="superscript"/>
              </w:rPr>
              <w:t>–4</w:t>
            </w:r>
          </w:p>
        </w:tc>
      </w:tr>
      <w:tr w:rsidR="0065046C" w14:paraId="452D48B0" w14:textId="77777777">
        <w:trPr>
          <w:trHeight w:val="680"/>
        </w:trPr>
        <w:tc>
          <w:tcPr>
            <w:tcW w:w="2689" w:type="dxa"/>
            <w:vAlign w:val="center"/>
          </w:tcPr>
          <w:p w14:paraId="1E612905" w14:textId="595DC8CD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Vitesse volumique de</w:t>
            </w:r>
            <w:r w:rsidR="0020742A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disparition du PLA</w:t>
            </w:r>
          </w:p>
          <w:p w14:paraId="106F701F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</w:t>
            </w:r>
            <w:proofErr w:type="gramStart"/>
            <w:r>
              <w:rPr>
                <w:rFonts w:ascii="Arial" w:eastAsia="Calibri" w:hAnsi="Arial" w:cs="Arial"/>
              </w:rPr>
              <w:t>mol</w:t>
            </w:r>
            <w:proofErr w:type="gramEnd"/>
            <w:r>
              <w:rPr>
                <w:rFonts w:ascii="Arial" w:eastAsia="Calibri" w:hAnsi="Arial" w:cs="Arial"/>
              </w:rPr>
              <w:t>·L</w:t>
            </w:r>
            <w:r>
              <w:rPr>
                <w:rFonts w:ascii="Arial" w:eastAsia="Calibri" w:hAnsi="Arial" w:cs="Arial"/>
                <w:vertAlign w:val="superscript"/>
              </w:rPr>
              <w:t>–1</w:t>
            </w:r>
            <w:r>
              <w:rPr>
                <w:rFonts w:ascii="Arial" w:eastAsia="Calibri" w:hAnsi="Arial" w:cs="Arial"/>
              </w:rPr>
              <w:t>·s</w:t>
            </w:r>
            <w:r>
              <w:rPr>
                <w:rFonts w:ascii="Arial" w:eastAsia="Calibri" w:hAnsi="Arial" w:cs="Arial"/>
                <w:vertAlign w:val="superscript"/>
              </w:rPr>
              <w:t>–1</w:t>
            </w:r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1501" w:type="dxa"/>
            <w:vAlign w:val="center"/>
          </w:tcPr>
          <w:p w14:paraId="1E2D1DCB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?</w:t>
            </w:r>
          </w:p>
        </w:tc>
        <w:tc>
          <w:tcPr>
            <w:tcW w:w="1501" w:type="dxa"/>
            <w:vAlign w:val="center"/>
          </w:tcPr>
          <w:p w14:paraId="43DCC7FE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2,7 × 10</w:t>
            </w:r>
            <w:r>
              <w:rPr>
                <w:rFonts w:ascii="Arial" w:eastAsia="Calibri" w:hAnsi="Arial" w:cs="Arial"/>
                <w:vertAlign w:val="superscript"/>
              </w:rPr>
              <w:t>–7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7F12D8C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1,5 × 10</w:t>
            </w:r>
            <w:r>
              <w:rPr>
                <w:rFonts w:ascii="Arial" w:eastAsia="Calibri" w:hAnsi="Arial" w:cs="Arial"/>
                <w:vertAlign w:val="superscript"/>
              </w:rPr>
              <w:t>–7</w:t>
            </w:r>
          </w:p>
        </w:tc>
        <w:tc>
          <w:tcPr>
            <w:tcW w:w="1502" w:type="dxa"/>
            <w:vAlign w:val="center"/>
          </w:tcPr>
          <w:p w14:paraId="4A6D1845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8,5 × 10</w:t>
            </w:r>
            <w:r>
              <w:rPr>
                <w:rFonts w:ascii="Arial" w:eastAsia="Calibri" w:hAnsi="Arial" w:cs="Arial"/>
                <w:vertAlign w:val="superscript"/>
              </w:rPr>
              <w:t>–8</w:t>
            </w:r>
          </w:p>
        </w:tc>
        <w:tc>
          <w:tcPr>
            <w:tcW w:w="1500" w:type="dxa"/>
            <w:vAlign w:val="center"/>
          </w:tcPr>
          <w:p w14:paraId="5648E2AF" w14:textId="77777777" w:rsidR="0065046C" w:rsidRDefault="00C46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4,8 × 10</w:t>
            </w:r>
            <w:r>
              <w:rPr>
                <w:rFonts w:ascii="Arial" w:eastAsia="Calibri" w:hAnsi="Arial" w:cs="Arial"/>
                <w:vertAlign w:val="superscript"/>
              </w:rPr>
              <w:t>–8</w:t>
            </w:r>
          </w:p>
        </w:tc>
      </w:tr>
    </w:tbl>
    <w:p w14:paraId="754A5E1A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4109074D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p w14:paraId="1269F88E" w14:textId="77777777" w:rsidR="0065046C" w:rsidRDefault="00C46771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3.2.1.</w:t>
      </w:r>
      <w:r>
        <w:rPr>
          <w:rFonts w:ascii="Arial" w:hAnsi="Arial" w:cs="Arial"/>
        </w:rPr>
        <w:tab/>
        <w:t xml:space="preserve">Définir la vitesse </w:t>
      </w:r>
      <w:r>
        <w:rPr>
          <w:rFonts w:ascii="Arial" w:hAnsi="Arial" w:cs="Arial"/>
        </w:rPr>
        <w:t>volumique de disparition du PLA.</w:t>
      </w:r>
    </w:p>
    <w:p w14:paraId="0671226D" w14:textId="77777777" w:rsidR="0065046C" w:rsidRDefault="0065046C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</w:p>
    <w:p w14:paraId="3D4263F9" w14:textId="77777777" w:rsidR="0065046C" w:rsidRDefault="00C46771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3.2.2.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Déterminer graphiquement la valeur de la vitesse volumique de disparition du PLA à la date t = 0 s pour la température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afin de compléter le tableau ci-dessus. Décrire la méthode utilisée.</w:t>
      </w:r>
    </w:p>
    <w:p w14:paraId="37022006" w14:textId="77777777" w:rsidR="0065046C" w:rsidRDefault="0065046C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</w:p>
    <w:p w14:paraId="6793547A" w14:textId="77777777" w:rsidR="0065046C" w:rsidRDefault="00C46771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3.2.3.</w:t>
      </w:r>
      <w:r>
        <w:rPr>
          <w:rFonts w:ascii="Arial" w:hAnsi="Arial" w:cs="Arial"/>
        </w:rPr>
        <w:tab/>
        <w:t xml:space="preserve">Montrer, en explicitant la démarche, que </w:t>
      </w:r>
      <w:r>
        <w:rPr>
          <w:rFonts w:ascii="Arial" w:hAnsi="Arial" w:cs="Arial"/>
        </w:rPr>
        <w:t>l’évolution de la concentration en PLA suit une loi de vitesse d’ordre 1.</w:t>
      </w:r>
    </w:p>
    <w:p w14:paraId="1A1CC568" w14:textId="77777777" w:rsidR="0065046C" w:rsidRDefault="0065046C">
      <w:pPr>
        <w:spacing w:after="0" w:line="240" w:lineRule="auto"/>
        <w:jc w:val="both"/>
        <w:rPr>
          <w:rFonts w:ascii="Arial" w:hAnsi="Arial" w:cs="Arial"/>
        </w:rPr>
      </w:pPr>
    </w:p>
    <w:sectPr w:rsidR="0065046C"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6C"/>
    <w:rsid w:val="0020742A"/>
    <w:rsid w:val="0065046C"/>
    <w:rsid w:val="00C46771"/>
    <w:rsid w:val="00D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B586"/>
  <w15:docId w15:val="{8D04541B-C85E-45A0-B7C6-F4D48737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1535DF"/>
  </w:style>
  <w:style w:type="character" w:customStyle="1" w:styleId="PieddepageCar">
    <w:name w:val="Pied de page Car"/>
    <w:basedOn w:val="Policepardfaut"/>
    <w:link w:val="Pieddepage"/>
    <w:uiPriority w:val="99"/>
    <w:qFormat/>
    <w:rsid w:val="001535DF"/>
  </w:style>
  <w:style w:type="character" w:styleId="Textedelespacerserv">
    <w:name w:val="Placeholder Text"/>
    <w:basedOn w:val="Policepardfaut"/>
    <w:uiPriority w:val="99"/>
    <w:semiHidden/>
    <w:qFormat/>
    <w:rsid w:val="00B249DC"/>
    <w:rPr>
      <w:color w:val="80808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39"/>
    <w:rsid w:val="0023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A20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2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labolycee.org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dc:description/>
  <cp:lastModifiedBy>Jocelyn CLEMENT</cp:lastModifiedBy>
  <cp:revision>4</cp:revision>
  <cp:lastPrinted>2024-01-13T17:44:00Z</cp:lastPrinted>
  <dcterms:created xsi:type="dcterms:W3CDTF">2024-01-13T17:41:00Z</dcterms:created>
  <dcterms:modified xsi:type="dcterms:W3CDTF">2024-01-13T17:44:00Z</dcterms:modified>
  <dc:language>fr-FR</dc:language>
</cp:coreProperties>
</file>