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26FEAE21" w:rsidR="00040449" w:rsidRPr="00D12335" w:rsidRDefault="0046426E" w:rsidP="00D1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2335">
        <w:rPr>
          <w:rFonts w:ascii="Arial" w:hAnsi="Arial" w:cs="Arial"/>
          <w:b/>
          <w:bCs/>
          <w:sz w:val="24"/>
          <w:szCs w:val="24"/>
        </w:rPr>
        <w:t>202</w:t>
      </w:r>
      <w:r w:rsidR="007F6F0D" w:rsidRPr="00D12335">
        <w:rPr>
          <w:rFonts w:ascii="Arial" w:hAnsi="Arial" w:cs="Arial"/>
          <w:b/>
          <w:bCs/>
          <w:sz w:val="24"/>
          <w:szCs w:val="24"/>
        </w:rPr>
        <w:t>2</w:t>
      </w:r>
      <w:r w:rsidRPr="00D12335">
        <w:rPr>
          <w:rFonts w:ascii="Arial" w:hAnsi="Arial" w:cs="Arial"/>
          <w:b/>
          <w:bCs/>
          <w:sz w:val="24"/>
          <w:szCs w:val="24"/>
        </w:rPr>
        <w:t xml:space="preserve"> </w:t>
      </w:r>
      <w:r w:rsidR="00270BAB" w:rsidRPr="00D12335">
        <w:rPr>
          <w:rFonts w:ascii="Arial" w:hAnsi="Arial" w:cs="Arial"/>
          <w:b/>
          <w:bCs/>
          <w:sz w:val="24"/>
          <w:szCs w:val="24"/>
        </w:rPr>
        <w:t xml:space="preserve">Centres étrangers </w:t>
      </w:r>
      <w:r w:rsidR="007F6F0D" w:rsidRPr="00D12335">
        <w:rPr>
          <w:rFonts w:ascii="Arial" w:hAnsi="Arial" w:cs="Arial"/>
          <w:b/>
          <w:bCs/>
          <w:sz w:val="24"/>
          <w:szCs w:val="24"/>
        </w:rPr>
        <w:t>2</w:t>
      </w:r>
      <w:r w:rsidR="00270BAB" w:rsidRPr="00D123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2335">
        <w:rPr>
          <w:rFonts w:ascii="Arial" w:hAnsi="Arial" w:cs="Arial"/>
          <w:b/>
          <w:bCs/>
          <w:sz w:val="24"/>
          <w:szCs w:val="24"/>
        </w:rPr>
        <w:t xml:space="preserve">Jour </w:t>
      </w:r>
      <w:r w:rsidR="0042165A" w:rsidRPr="00D12335">
        <w:rPr>
          <w:rFonts w:ascii="Arial" w:hAnsi="Arial" w:cs="Arial"/>
          <w:b/>
          <w:bCs/>
          <w:sz w:val="24"/>
          <w:szCs w:val="24"/>
        </w:rPr>
        <w:t>2</w:t>
      </w:r>
      <w:r w:rsidR="003901BC" w:rsidRPr="00D12335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D12335" w:rsidRPr="00D1233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D12335" w:rsidRPr="00D123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04F20" w14:textId="4013108C" w:rsidR="007F6F0D" w:rsidRPr="00D12335" w:rsidRDefault="00EB63DF" w:rsidP="00D1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2335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2165A" w:rsidRPr="00D12335">
        <w:rPr>
          <w:rFonts w:ascii="Arial" w:hAnsi="Arial" w:cs="Arial"/>
          <w:b/>
          <w:bCs/>
          <w:sz w:val="24"/>
          <w:szCs w:val="24"/>
        </w:rPr>
        <w:t>A</w:t>
      </w:r>
      <w:r w:rsidR="00122699" w:rsidRPr="00D1233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65A" w:rsidRPr="00D12335">
        <w:rPr>
          <w:rFonts w:ascii="Arial" w:hAnsi="Arial" w:cs="Arial"/>
          <w:b/>
          <w:bCs/>
          <w:sz w:val="24"/>
          <w:szCs w:val="24"/>
        </w:rPr>
        <w:t xml:space="preserve">‒ </w:t>
      </w:r>
      <w:r w:rsidR="0042165A" w:rsidRPr="00D12335">
        <w:rPr>
          <w:rFonts w:ascii="Arial" w:hAnsi="Arial" w:cs="Arial"/>
          <w:b/>
          <w:bCs/>
          <w:caps/>
          <w:sz w:val="24"/>
          <w:szCs w:val="24"/>
        </w:rPr>
        <w:t>arôme de vanille</w:t>
      </w:r>
      <w:r w:rsidR="0042165A" w:rsidRPr="00D12335">
        <w:rPr>
          <w:rFonts w:ascii="Arial" w:hAnsi="Arial" w:cs="Arial"/>
          <w:b/>
          <w:bCs/>
          <w:sz w:val="24"/>
          <w:szCs w:val="24"/>
        </w:rPr>
        <w:t xml:space="preserve"> </w:t>
      </w:r>
      <w:r w:rsidR="007F6F0D" w:rsidRPr="00D12335">
        <w:rPr>
          <w:rFonts w:ascii="Arial" w:hAnsi="Arial" w:cs="Arial"/>
          <w:b/>
          <w:bCs/>
          <w:sz w:val="24"/>
          <w:szCs w:val="24"/>
        </w:rPr>
        <w:t>(</w:t>
      </w:r>
      <w:r w:rsidR="0042165A" w:rsidRPr="00D12335">
        <w:rPr>
          <w:rFonts w:ascii="Arial" w:hAnsi="Arial" w:cs="Arial"/>
          <w:b/>
          <w:bCs/>
          <w:sz w:val="24"/>
          <w:szCs w:val="24"/>
        </w:rPr>
        <w:t>5</w:t>
      </w:r>
      <w:r w:rsidR="007F6F0D" w:rsidRPr="00D12335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112C84FB" w:rsidR="00EB63DF" w:rsidRDefault="00EB63DF" w:rsidP="00107F18">
      <w:pPr>
        <w:spacing w:after="0" w:line="240" w:lineRule="auto"/>
        <w:jc w:val="both"/>
        <w:rPr>
          <w:rFonts w:ascii="Arial" w:hAnsi="Arial" w:cs="Arial"/>
        </w:rPr>
      </w:pPr>
    </w:p>
    <w:p w14:paraId="73F63CB7" w14:textId="5AED140A" w:rsidR="0053209A" w:rsidRDefault="0053209A" w:rsidP="00107F18">
      <w:pPr>
        <w:spacing w:after="0" w:line="240" w:lineRule="auto"/>
        <w:jc w:val="both"/>
        <w:rPr>
          <w:rFonts w:ascii="Arial" w:hAnsi="Arial" w:cs="Arial"/>
        </w:rPr>
      </w:pPr>
    </w:p>
    <w:p w14:paraId="01BE9674" w14:textId="3ACFDD9D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La vanilline est le constituant principal de l'essence de vanille. Elle est extraite de gousses de vanille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séchées et fermentées.</w:t>
      </w:r>
    </w:p>
    <w:p w14:paraId="006AA0D7" w14:textId="55E42EA1" w:rsidR="00026772" w:rsidRP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On se propose dans cet exercice de déterminer la masse de vanilline présente dans un arôme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alimentaire de vanille Bourbon. Pour cela, on commence par préparer une solution de référence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dont on détermine la concentration en vanilline par titrage suivi par conductimétrie. Cette solution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de référence est ensuite utilisée pour réaliser un dosage par étalonnage utilisant la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spectrophotométrie.</w:t>
      </w:r>
    </w:p>
    <w:p w14:paraId="39A7D658" w14:textId="08C1B74D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0AA1BCDF" w14:textId="77777777" w:rsidR="00ED4C03" w:rsidRDefault="00ED4C03" w:rsidP="00107F18">
      <w:pPr>
        <w:spacing w:after="0" w:line="240" w:lineRule="auto"/>
        <w:jc w:val="both"/>
        <w:rPr>
          <w:rFonts w:ascii="Arial" w:hAnsi="Arial" w:cs="Arial"/>
        </w:rPr>
      </w:pPr>
    </w:p>
    <w:p w14:paraId="15A90571" w14:textId="4B348A3B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26772">
        <w:rPr>
          <w:rFonts w:ascii="Arial" w:hAnsi="Arial" w:cs="Arial"/>
          <w:b/>
          <w:bCs/>
        </w:rPr>
        <w:t>Données :</w:t>
      </w:r>
    </w:p>
    <w:p w14:paraId="10426F69" w14:textId="7397BB20" w:rsidR="00026772" w:rsidRPr="00ED4C03" w:rsidRDefault="00026772" w:rsidP="00107F18">
      <w:pPr>
        <w:pStyle w:val="Paragraphedeliste"/>
        <w:numPr>
          <w:ilvl w:val="0"/>
          <w:numId w:val="46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ED4C03">
        <w:rPr>
          <w:rFonts w:ascii="Arial" w:hAnsi="Arial" w:cs="Arial"/>
        </w:rPr>
        <w:t>masse</w:t>
      </w:r>
      <w:proofErr w:type="gramEnd"/>
      <w:r w:rsidRPr="00ED4C03">
        <w:rPr>
          <w:rFonts w:ascii="Arial" w:hAnsi="Arial" w:cs="Arial"/>
        </w:rPr>
        <w:t xml:space="preserve"> molaire de la vanilline</w:t>
      </w:r>
      <w:r w:rsidR="00ED4C03">
        <w:rPr>
          <w:rFonts w:ascii="Arial" w:hAnsi="Arial" w:cs="Arial"/>
        </w:rPr>
        <w:t> :</w:t>
      </w:r>
      <w:r w:rsidRPr="00ED4C03">
        <w:rPr>
          <w:rFonts w:ascii="Arial" w:hAnsi="Arial" w:cs="Arial"/>
        </w:rPr>
        <w:t xml:space="preserve"> 152 </w:t>
      </w:r>
      <w:proofErr w:type="spellStart"/>
      <w:r w:rsidRPr="00ED4C03">
        <w:rPr>
          <w:rFonts w:ascii="Arial" w:hAnsi="Arial" w:cs="Arial"/>
        </w:rPr>
        <w:t>g·mol</w:t>
      </w:r>
      <w:proofErr w:type="spellEnd"/>
      <w:r w:rsidR="00ED4C03" w:rsidRPr="00ED4C03">
        <w:rPr>
          <w:rFonts w:ascii="Arial" w:hAnsi="Arial" w:cs="Arial"/>
          <w:vertAlign w:val="superscript"/>
        </w:rPr>
        <w:t>–1</w:t>
      </w:r>
      <w:r w:rsidR="00ED4C03" w:rsidRPr="00ED4C03">
        <w:rPr>
          <w:rFonts w:ascii="Arial" w:hAnsi="Arial" w:cs="Arial"/>
        </w:rPr>
        <w:t> ;</w:t>
      </w:r>
    </w:p>
    <w:p w14:paraId="5FB8C654" w14:textId="4CDE078B" w:rsidR="00026772" w:rsidRPr="00ED4C03" w:rsidRDefault="00026772" w:rsidP="00107F18">
      <w:pPr>
        <w:pStyle w:val="Paragraphedeliste"/>
        <w:numPr>
          <w:ilvl w:val="0"/>
          <w:numId w:val="46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ED4C03">
        <w:rPr>
          <w:rFonts w:ascii="Arial" w:hAnsi="Arial" w:cs="Arial"/>
        </w:rPr>
        <w:t>conductivités</w:t>
      </w:r>
      <w:proofErr w:type="gramEnd"/>
      <w:r w:rsidRPr="00ED4C03">
        <w:rPr>
          <w:rFonts w:ascii="Arial" w:hAnsi="Arial" w:cs="Arial"/>
        </w:rPr>
        <w:t xml:space="preserve"> ioniques molaires</w:t>
      </w:r>
      <w:r w:rsidR="00ED4C03" w:rsidRPr="00ED4C03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1558"/>
        <w:gridCol w:w="1558"/>
        <w:gridCol w:w="1558"/>
        <w:gridCol w:w="1558"/>
        <w:gridCol w:w="1699"/>
      </w:tblGrid>
      <w:tr w:rsidR="00ED4C03" w14:paraId="3A0E3493" w14:textId="77777777" w:rsidTr="00ED4C0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A27D" w14:textId="5E551F28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Ion</w:t>
            </w:r>
          </w:p>
        </w:tc>
        <w:tc>
          <w:tcPr>
            <w:tcW w:w="1558" w:type="dxa"/>
            <w:tcBorders>
              <w:left w:val="single" w:sz="6" w:space="0" w:color="auto"/>
            </w:tcBorders>
            <w:vAlign w:val="center"/>
          </w:tcPr>
          <w:p w14:paraId="7B516AE6" w14:textId="3F03CEBD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H</w:t>
            </w:r>
            <w:r w:rsidRPr="00ED4C03">
              <w:rPr>
                <w:rFonts w:ascii="Arial" w:hAnsi="Arial" w:cs="Arial"/>
                <w:vertAlign w:val="subscript"/>
              </w:rPr>
              <w:t>3</w:t>
            </w:r>
            <w:r w:rsidRPr="00026772">
              <w:rPr>
                <w:rFonts w:ascii="Arial" w:hAnsi="Arial" w:cs="Arial"/>
              </w:rPr>
              <w:t>O</w:t>
            </w:r>
            <w:r w:rsidRPr="00ED4C03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558" w:type="dxa"/>
            <w:vAlign w:val="center"/>
          </w:tcPr>
          <w:p w14:paraId="7D7F036B" w14:textId="0DE8308E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HO</w:t>
            </w:r>
            <w:r w:rsidR="00D12335">
              <w:rPr>
                <w:rFonts w:ascii="Arial" w:hAnsi="Arial" w:cs="Arial"/>
                <w:vertAlign w:val="superscript"/>
              </w:rPr>
              <w:t>–</w:t>
            </w:r>
          </w:p>
        </w:tc>
        <w:tc>
          <w:tcPr>
            <w:tcW w:w="1558" w:type="dxa"/>
            <w:vAlign w:val="center"/>
          </w:tcPr>
          <w:p w14:paraId="0CB32878" w14:textId="264D8EAC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Cl</w:t>
            </w:r>
            <w:r w:rsidR="00D12335">
              <w:rPr>
                <w:rFonts w:ascii="Arial" w:hAnsi="Arial" w:cs="Arial"/>
                <w:vertAlign w:val="superscript"/>
              </w:rPr>
              <w:t>–</w:t>
            </w:r>
          </w:p>
        </w:tc>
        <w:tc>
          <w:tcPr>
            <w:tcW w:w="1558" w:type="dxa"/>
            <w:vAlign w:val="center"/>
          </w:tcPr>
          <w:p w14:paraId="50243C2A" w14:textId="0E4110AF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Na</w:t>
            </w:r>
            <w:r w:rsidRPr="00ED4C03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699" w:type="dxa"/>
            <w:vAlign w:val="center"/>
          </w:tcPr>
          <w:p w14:paraId="1924F66B" w14:textId="4FF4B75E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Vanillinate (V</w:t>
            </w:r>
            <w:r w:rsidRPr="00ED4C03">
              <w:rPr>
                <w:rFonts w:ascii="Arial" w:hAnsi="Arial" w:cs="Arial"/>
                <w:vertAlign w:val="superscript"/>
              </w:rPr>
              <w:t>–</w:t>
            </w:r>
            <w:r w:rsidRPr="00026772">
              <w:rPr>
                <w:rFonts w:ascii="Arial" w:hAnsi="Arial" w:cs="Arial"/>
              </w:rPr>
              <w:t>)</w:t>
            </w:r>
          </w:p>
        </w:tc>
      </w:tr>
      <w:tr w:rsidR="00ED4C03" w14:paraId="0AC0D947" w14:textId="77777777" w:rsidTr="00ED4C03"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14:paraId="4E03ACBD" w14:textId="5B6B2914" w:rsidR="00ED4C03" w:rsidRDefault="00ED4C03" w:rsidP="00107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6C"/>
            </w:r>
            <w:r w:rsidRPr="00ED4C03">
              <w:rPr>
                <w:rFonts w:ascii="Arial" w:hAnsi="Arial" w:cs="Arial"/>
                <w:vertAlign w:val="superscript"/>
              </w:rPr>
              <w:t>0</w:t>
            </w:r>
            <w:r w:rsidRPr="00026772">
              <w:rPr>
                <w:rFonts w:ascii="Arial" w:hAnsi="Arial" w:cs="Arial"/>
              </w:rPr>
              <w:t xml:space="preserve"> (mS·m</w:t>
            </w:r>
            <w:r w:rsidRPr="00ED4C03">
              <w:rPr>
                <w:rFonts w:ascii="Arial" w:hAnsi="Arial" w:cs="Arial"/>
                <w:vertAlign w:val="superscript"/>
              </w:rPr>
              <w:t>2</w:t>
            </w:r>
            <w:r w:rsidRPr="00026772">
              <w:rPr>
                <w:rFonts w:ascii="Arial" w:hAnsi="Arial" w:cs="Arial"/>
              </w:rPr>
              <w:t>·mol</w:t>
            </w:r>
            <w:r w:rsidRPr="00ED4C03">
              <w:rPr>
                <w:rFonts w:ascii="Arial" w:hAnsi="Arial" w:cs="Arial"/>
                <w:vertAlign w:val="superscript"/>
              </w:rPr>
              <w:t>–1</w:t>
            </w:r>
            <w:r w:rsidRPr="00026772">
              <w:rPr>
                <w:rFonts w:ascii="Arial" w:hAnsi="Arial" w:cs="Arial"/>
              </w:rPr>
              <w:t>)</w:t>
            </w:r>
          </w:p>
        </w:tc>
        <w:tc>
          <w:tcPr>
            <w:tcW w:w="1558" w:type="dxa"/>
            <w:vAlign w:val="center"/>
          </w:tcPr>
          <w:p w14:paraId="7E06B77B" w14:textId="0F899919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35</w:t>
            </w:r>
          </w:p>
        </w:tc>
        <w:tc>
          <w:tcPr>
            <w:tcW w:w="1558" w:type="dxa"/>
            <w:vAlign w:val="center"/>
          </w:tcPr>
          <w:p w14:paraId="62B9EE4E" w14:textId="2ACBB001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20</w:t>
            </w:r>
          </w:p>
        </w:tc>
        <w:tc>
          <w:tcPr>
            <w:tcW w:w="1558" w:type="dxa"/>
            <w:vAlign w:val="center"/>
          </w:tcPr>
          <w:p w14:paraId="11F813A9" w14:textId="6E82EF0F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7,6</w:t>
            </w:r>
          </w:p>
        </w:tc>
        <w:tc>
          <w:tcPr>
            <w:tcW w:w="1558" w:type="dxa"/>
            <w:vAlign w:val="center"/>
          </w:tcPr>
          <w:p w14:paraId="7516EE64" w14:textId="3FFA2983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5,0</w:t>
            </w:r>
          </w:p>
        </w:tc>
        <w:tc>
          <w:tcPr>
            <w:tcW w:w="1699" w:type="dxa"/>
            <w:vAlign w:val="center"/>
          </w:tcPr>
          <w:p w14:paraId="0BC474C8" w14:textId="4558C288" w:rsidR="00ED4C03" w:rsidRDefault="00ED4C03" w:rsidP="00107F18">
            <w:pPr>
              <w:jc w:val="center"/>
              <w:rPr>
                <w:rFonts w:ascii="Arial" w:hAnsi="Arial" w:cs="Arial"/>
              </w:rPr>
            </w:pPr>
            <w:r w:rsidRPr="00026772">
              <w:rPr>
                <w:rFonts w:ascii="Arial" w:hAnsi="Arial" w:cs="Arial"/>
              </w:rPr>
              <w:t>Inconnue</w:t>
            </w:r>
          </w:p>
        </w:tc>
      </w:tr>
    </w:tbl>
    <w:p w14:paraId="07D33845" w14:textId="68AFD5A3" w:rsidR="00026772" w:rsidRP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34CA38DD" w14:textId="77777777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4D2252CF" w14:textId="21EB961A" w:rsidR="00026772" w:rsidRPr="00026772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26772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Pr="00026772">
        <w:rPr>
          <w:rFonts w:ascii="Arial" w:hAnsi="Arial" w:cs="Arial"/>
          <w:b/>
          <w:bCs/>
        </w:rPr>
        <w:t>Préparation d’une solution de référence</w:t>
      </w:r>
    </w:p>
    <w:p w14:paraId="1DFC03B1" w14:textId="0EC45FE8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On réalise la dissolution d’une faible quantité de vanilline commerciale, dans une solution aqueuse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 xml:space="preserve">basique d’hydroxyde de sodium. On obtient une solution, notée </w:t>
      </w:r>
      <w:r w:rsidR="009955DC" w:rsidRPr="00026772">
        <w:rPr>
          <w:rFonts w:ascii="Arial" w:hAnsi="Arial" w:cs="Arial"/>
        </w:rPr>
        <w:t>S</w:t>
      </w:r>
      <w:r w:rsidR="009955DC" w:rsidRPr="00026772">
        <w:rPr>
          <w:rFonts w:ascii="Arial" w:hAnsi="Arial" w:cs="Arial"/>
          <w:vertAlign w:val="subscript"/>
        </w:rPr>
        <w:t>1</w:t>
      </w:r>
      <w:r w:rsidRPr="00026772">
        <w:rPr>
          <w:rFonts w:ascii="Arial" w:hAnsi="Arial" w:cs="Arial"/>
        </w:rPr>
        <w:t xml:space="preserve">. Dans cette solution </w:t>
      </w:r>
      <w:r w:rsidR="009955DC" w:rsidRPr="00026772">
        <w:rPr>
          <w:rFonts w:ascii="Arial" w:hAnsi="Arial" w:cs="Arial"/>
        </w:rPr>
        <w:t>S</w:t>
      </w:r>
      <w:r w:rsidR="009955DC" w:rsidRPr="00026772">
        <w:rPr>
          <w:rFonts w:ascii="Arial" w:hAnsi="Arial" w:cs="Arial"/>
          <w:vertAlign w:val="subscript"/>
        </w:rPr>
        <w:t>1</w:t>
      </w:r>
      <w:r w:rsidRPr="00026772">
        <w:rPr>
          <w:rFonts w:ascii="Arial" w:hAnsi="Arial" w:cs="Arial"/>
        </w:rPr>
        <w:t>, la</w:t>
      </w:r>
      <w:r w:rsidR="009955DC">
        <w:rPr>
          <w:rFonts w:ascii="Arial" w:hAnsi="Arial" w:cs="Arial"/>
        </w:rPr>
        <w:t xml:space="preserve"> v</w:t>
      </w:r>
      <w:r w:rsidRPr="00026772">
        <w:rPr>
          <w:rFonts w:ascii="Arial" w:hAnsi="Arial" w:cs="Arial"/>
        </w:rPr>
        <w:t>anilline, notée VH, a réagi avec les ions hydroxyde pour former l’ion vanillinate, noté V</w:t>
      </w:r>
      <w:r w:rsidRPr="009955DC">
        <w:rPr>
          <w:rFonts w:ascii="Arial" w:hAnsi="Arial" w:cs="Arial"/>
          <w:vertAlign w:val="superscript"/>
        </w:rPr>
        <w:t>–</w:t>
      </w:r>
      <w:r w:rsidRPr="00026772">
        <w:rPr>
          <w:rFonts w:ascii="Arial" w:hAnsi="Arial" w:cs="Arial"/>
        </w:rPr>
        <w:t>. L’équation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de la réaction modélisant cette transformation chimique est la suivante</w:t>
      </w:r>
      <w:r>
        <w:rPr>
          <w:rFonts w:ascii="Arial" w:hAnsi="Arial" w:cs="Arial"/>
        </w:rPr>
        <w:t> :</w:t>
      </w:r>
    </w:p>
    <w:p w14:paraId="6EFFAFA8" w14:textId="6202C541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1F5626F5" w14:textId="6E85F1D6" w:rsidR="00026772" w:rsidRDefault="00ED4C03" w:rsidP="00107F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4B3E57" wp14:editId="6D04DC57">
            <wp:extent cx="6477000" cy="996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AE23" w14:textId="77777777" w:rsidR="00026772" w:rsidRP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1FC9CEE7" w14:textId="2C4B65B3" w:rsidR="00026772" w:rsidRPr="00026772" w:rsidRDefault="00026772" w:rsidP="00107F18">
      <w:pPr>
        <w:pStyle w:val="Paragraphedeliste"/>
        <w:numPr>
          <w:ilvl w:val="1"/>
          <w:numId w:val="41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Écrire la formule brute de la vanilline.</w:t>
      </w:r>
    </w:p>
    <w:p w14:paraId="0A71014C" w14:textId="77777777" w:rsidR="00026772" w:rsidRPr="00026772" w:rsidRDefault="00026772" w:rsidP="00107F1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426B539" w14:textId="12C0387D" w:rsidR="00026772" w:rsidRDefault="00026772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1.2.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Identifier les deux couples acide/base mis en jeu lors de cette réaction.</w:t>
      </w:r>
    </w:p>
    <w:p w14:paraId="51E0A538" w14:textId="322F2764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5606FD32" w14:textId="7AC84519" w:rsidR="00026772" w:rsidRDefault="00026772" w:rsidP="00107F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629620" w14:textId="1598687B" w:rsidR="00026772" w:rsidRPr="009955DC" w:rsidRDefault="00026772" w:rsidP="00107F18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9955DC">
        <w:rPr>
          <w:rFonts w:ascii="Arial" w:hAnsi="Arial" w:cs="Arial"/>
          <w:b/>
          <w:bCs/>
        </w:rPr>
        <w:lastRenderedPageBreak/>
        <w:t>Titrage de la solution de référence S</w:t>
      </w:r>
      <w:r w:rsidRPr="009955DC">
        <w:rPr>
          <w:rFonts w:ascii="Arial" w:hAnsi="Arial" w:cs="Arial"/>
          <w:b/>
          <w:bCs/>
          <w:vertAlign w:val="subscript"/>
        </w:rPr>
        <w:t>1</w:t>
      </w:r>
    </w:p>
    <w:p w14:paraId="79EDDB73" w14:textId="77777777" w:rsidR="009955DC" w:rsidRDefault="009955DC" w:rsidP="00107F18">
      <w:pPr>
        <w:spacing w:after="0" w:line="240" w:lineRule="auto"/>
        <w:jc w:val="both"/>
        <w:rPr>
          <w:rFonts w:ascii="Arial" w:hAnsi="Arial" w:cs="Arial"/>
        </w:rPr>
      </w:pPr>
    </w:p>
    <w:p w14:paraId="33A5B147" w14:textId="7D07E859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 xml:space="preserve">On réalise le titrage d’un volume </w:t>
      </w:r>
      <w:r w:rsidR="009955DC" w:rsidRPr="009955DC">
        <w:rPr>
          <w:rFonts w:ascii="Arial" w:hAnsi="Arial" w:cs="Arial"/>
          <w:i/>
          <w:iCs/>
        </w:rPr>
        <w:t>V</w:t>
      </w:r>
      <w:r w:rsidR="009955DC" w:rsidRPr="009955DC">
        <w:rPr>
          <w:rFonts w:ascii="Arial" w:hAnsi="Arial" w:cs="Arial"/>
          <w:i/>
          <w:iCs/>
          <w:vertAlign w:val="subscript"/>
        </w:rPr>
        <w:t>1</w:t>
      </w:r>
      <w:r w:rsidRPr="00026772">
        <w:rPr>
          <w:rFonts w:ascii="Arial" w:hAnsi="Arial" w:cs="Arial"/>
        </w:rPr>
        <w:t xml:space="preserve"> = 20,0 mL de solution S</w:t>
      </w:r>
      <w:r w:rsidRPr="00026772">
        <w:rPr>
          <w:rFonts w:ascii="Arial" w:hAnsi="Arial" w:cs="Arial"/>
          <w:vertAlign w:val="subscript"/>
        </w:rPr>
        <w:t>1</w:t>
      </w:r>
      <w:r w:rsidRPr="00026772">
        <w:rPr>
          <w:rFonts w:ascii="Arial" w:hAnsi="Arial" w:cs="Arial"/>
        </w:rPr>
        <w:t>, auquel on ajoute environ 150 mL d’eau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 xml:space="preserve">distillée, par de l’acide chlorhydrique de concentration </w:t>
      </w:r>
      <w:proofErr w:type="gramStart"/>
      <w:r w:rsidRPr="009955DC">
        <w:rPr>
          <w:rFonts w:ascii="Arial" w:hAnsi="Arial" w:cs="Arial"/>
          <w:i/>
          <w:iCs/>
        </w:rPr>
        <w:t>C</w:t>
      </w:r>
      <w:r w:rsidRPr="009955DC">
        <w:rPr>
          <w:rFonts w:ascii="Arial" w:hAnsi="Arial" w:cs="Arial"/>
          <w:i/>
          <w:iCs/>
          <w:vertAlign w:val="subscript"/>
        </w:rPr>
        <w:t>a</w:t>
      </w:r>
      <w:proofErr w:type="gramEnd"/>
      <w:r w:rsidRPr="00026772">
        <w:rPr>
          <w:rFonts w:ascii="Arial" w:hAnsi="Arial" w:cs="Arial"/>
        </w:rPr>
        <w:t xml:space="preserve"> = 1,0×10</w:t>
      </w:r>
      <w:r w:rsidRPr="009955DC">
        <w:rPr>
          <w:rFonts w:ascii="Arial" w:hAnsi="Arial" w:cs="Arial"/>
          <w:vertAlign w:val="superscript"/>
        </w:rPr>
        <w:t>–1</w:t>
      </w:r>
      <w:r w:rsidRPr="00026772">
        <w:rPr>
          <w:rFonts w:ascii="Arial" w:hAnsi="Arial" w:cs="Arial"/>
        </w:rPr>
        <w:t xml:space="preserve"> </w:t>
      </w:r>
      <w:proofErr w:type="spellStart"/>
      <w:r w:rsidRPr="00026772">
        <w:rPr>
          <w:rFonts w:ascii="Arial" w:hAnsi="Arial" w:cs="Arial"/>
        </w:rPr>
        <w:t>mol·L</w:t>
      </w:r>
      <w:proofErr w:type="spellEnd"/>
      <w:r w:rsidRPr="009955DC">
        <w:rPr>
          <w:rFonts w:ascii="Arial" w:hAnsi="Arial" w:cs="Arial"/>
          <w:vertAlign w:val="superscript"/>
        </w:rPr>
        <w:t>–1</w:t>
      </w:r>
      <w:r w:rsidRPr="00026772">
        <w:rPr>
          <w:rFonts w:ascii="Arial" w:hAnsi="Arial" w:cs="Arial"/>
        </w:rPr>
        <w:t>. Le titrage est suivi par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conductimétrie.</w:t>
      </w:r>
    </w:p>
    <w:p w14:paraId="768EC53C" w14:textId="76B5BA0B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On obtient la courbe de suivi du titrage suivante</w:t>
      </w:r>
      <w:r>
        <w:rPr>
          <w:rFonts w:ascii="Arial" w:hAnsi="Arial" w:cs="Arial"/>
        </w:rPr>
        <w:t> :</w:t>
      </w:r>
    </w:p>
    <w:p w14:paraId="34AF2624" w14:textId="3E570D84" w:rsidR="00ED4C03" w:rsidRDefault="00ED4C03" w:rsidP="00107F18">
      <w:pPr>
        <w:spacing w:after="0" w:line="240" w:lineRule="auto"/>
        <w:jc w:val="both"/>
        <w:rPr>
          <w:rFonts w:ascii="Arial" w:hAnsi="Arial" w:cs="Arial"/>
        </w:rPr>
      </w:pPr>
    </w:p>
    <w:p w14:paraId="2CAE6403" w14:textId="5F4532DB" w:rsidR="00ED4C03" w:rsidRDefault="00ED4C03" w:rsidP="00107F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D83850" wp14:editId="60B01C94">
            <wp:extent cx="6470650" cy="30353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95D0" w14:textId="77777777" w:rsidR="00ED4C03" w:rsidRPr="00026772" w:rsidRDefault="00ED4C03" w:rsidP="00107F18">
      <w:pPr>
        <w:spacing w:after="0" w:line="240" w:lineRule="auto"/>
        <w:jc w:val="both"/>
        <w:rPr>
          <w:rFonts w:ascii="Arial" w:hAnsi="Arial" w:cs="Arial"/>
        </w:rPr>
      </w:pPr>
    </w:p>
    <w:p w14:paraId="5E3183D5" w14:textId="7A844C4B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Cette courbe fait apparaitre trois phases distinctes</w:t>
      </w:r>
      <w:r>
        <w:rPr>
          <w:rFonts w:ascii="Arial" w:hAnsi="Arial" w:cs="Arial"/>
        </w:rPr>
        <w:t> :</w:t>
      </w:r>
    </w:p>
    <w:p w14:paraId="2C9B7818" w14:textId="3A46C984" w:rsidR="00026772" w:rsidRPr="00026772" w:rsidRDefault="00026772" w:rsidP="00107F18">
      <w:pPr>
        <w:pStyle w:val="Paragraphedeliste"/>
        <w:numPr>
          <w:ilvl w:val="0"/>
          <w:numId w:val="4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26772">
        <w:rPr>
          <w:rFonts w:ascii="Arial" w:hAnsi="Arial" w:cs="Arial"/>
        </w:rPr>
        <w:t>première</w:t>
      </w:r>
      <w:proofErr w:type="gramEnd"/>
      <w:r w:rsidRPr="00026772">
        <w:rPr>
          <w:rFonts w:ascii="Arial" w:hAnsi="Arial" w:cs="Arial"/>
        </w:rPr>
        <w:t xml:space="preserve"> phase : titrage de l’excès des ions hydroxyde ;</w:t>
      </w:r>
    </w:p>
    <w:p w14:paraId="635AF1E8" w14:textId="48D90BEF" w:rsidR="00026772" w:rsidRPr="00026772" w:rsidRDefault="00026772" w:rsidP="00107F18">
      <w:pPr>
        <w:pStyle w:val="Paragraphedeliste"/>
        <w:numPr>
          <w:ilvl w:val="0"/>
          <w:numId w:val="4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26772">
        <w:rPr>
          <w:rFonts w:ascii="Arial" w:hAnsi="Arial" w:cs="Arial"/>
        </w:rPr>
        <w:t>deuxième</w:t>
      </w:r>
      <w:proofErr w:type="gramEnd"/>
      <w:r w:rsidRPr="00026772">
        <w:rPr>
          <w:rFonts w:ascii="Arial" w:hAnsi="Arial" w:cs="Arial"/>
        </w:rPr>
        <w:t xml:space="preserve"> phase : titrage de la base conjuguée de la vanilline ;</w:t>
      </w:r>
    </w:p>
    <w:p w14:paraId="32FF2C2C" w14:textId="5BFFD4C1" w:rsidR="00026772" w:rsidRPr="00026772" w:rsidRDefault="00026772" w:rsidP="00107F18">
      <w:pPr>
        <w:pStyle w:val="Paragraphedeliste"/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26772">
        <w:rPr>
          <w:rFonts w:ascii="Arial" w:hAnsi="Arial" w:cs="Arial"/>
        </w:rPr>
        <w:t>troisième</w:t>
      </w:r>
      <w:proofErr w:type="gramEnd"/>
      <w:r w:rsidRPr="00026772">
        <w:rPr>
          <w:rFonts w:ascii="Arial" w:hAnsi="Arial" w:cs="Arial"/>
        </w:rPr>
        <w:t xml:space="preserve"> phase : ajout d’acide en excès dans le milieu.</w:t>
      </w:r>
    </w:p>
    <w:p w14:paraId="249AFDC7" w14:textId="37E1BAD8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69C9B09B" w14:textId="77777777" w:rsidR="00107F18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024E5421" w14:textId="553D1D54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Première phase du titrage</w:t>
      </w:r>
    </w:p>
    <w:p w14:paraId="11FE15B0" w14:textId="39B9EBDF" w:rsidR="00026772" w:rsidRPr="00026772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2.1.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Écrire l’équation de la réaction support du titrage qui a lieu lors de la première phase.</w:t>
      </w:r>
    </w:p>
    <w:p w14:paraId="5B92AE0C" w14:textId="451F21C3" w:rsidR="00026772" w:rsidRPr="00026772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2.2.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Déterminer graphiquement le volume d’acide nécessaire au titrage des ions hydroxyde.</w:t>
      </w:r>
    </w:p>
    <w:p w14:paraId="252BDA2D" w14:textId="179E9B3F" w:rsidR="00026772" w:rsidRPr="00026772" w:rsidRDefault="00026772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2.3.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Justifier la pente de la courbe lors de cette première phase.</w:t>
      </w:r>
    </w:p>
    <w:p w14:paraId="0A52CBFB" w14:textId="798916BA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1B39D768" w14:textId="77777777" w:rsidR="00107F18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1E5DC5B2" w14:textId="47906A82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Deuxième phase du titrage</w:t>
      </w:r>
    </w:p>
    <w:p w14:paraId="0E75ECDF" w14:textId="69B45E3E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L’équation de la réaction support du deuxième titrage peut s’écrire</w:t>
      </w:r>
      <w:r>
        <w:rPr>
          <w:rFonts w:ascii="Arial" w:hAnsi="Arial" w:cs="Arial"/>
        </w:rPr>
        <w:t> :</w:t>
      </w:r>
    </w:p>
    <w:p w14:paraId="5D0CEB1F" w14:textId="3F5DF501" w:rsidR="00026772" w:rsidRPr="00026772" w:rsidRDefault="009955DC" w:rsidP="00107F18">
      <w:pPr>
        <w:spacing w:after="120" w:line="240" w:lineRule="auto"/>
        <w:jc w:val="center"/>
        <w:rPr>
          <w:rFonts w:ascii="Arial" w:hAnsi="Arial" w:cs="Arial"/>
        </w:rPr>
      </w:pPr>
      <w:r w:rsidRPr="00026772">
        <w:rPr>
          <w:rFonts w:ascii="Arial" w:hAnsi="Arial" w:cs="Arial"/>
        </w:rPr>
        <w:t>V</w:t>
      </w:r>
      <w:r w:rsidRPr="009955DC">
        <w:rPr>
          <w:rFonts w:ascii="Arial" w:hAnsi="Arial" w:cs="Arial"/>
          <w:vertAlign w:val="superscript"/>
        </w:rPr>
        <w:t>–</w:t>
      </w:r>
      <w:r w:rsidR="00026772" w:rsidRPr="00026772">
        <w:rPr>
          <w:rFonts w:ascii="Arial" w:hAnsi="Arial" w:cs="Arial"/>
        </w:rPr>
        <w:t>(aq) + H</w:t>
      </w:r>
      <w:r w:rsidR="00026772" w:rsidRPr="00107F18">
        <w:rPr>
          <w:rFonts w:ascii="Arial" w:hAnsi="Arial" w:cs="Arial"/>
          <w:vertAlign w:val="subscript"/>
        </w:rPr>
        <w:t>3</w:t>
      </w:r>
      <w:r w:rsidR="00026772" w:rsidRPr="00026772">
        <w:rPr>
          <w:rFonts w:ascii="Arial" w:hAnsi="Arial" w:cs="Arial"/>
        </w:rPr>
        <w:t>O</w:t>
      </w:r>
      <w:r w:rsidR="00026772" w:rsidRPr="00107F18">
        <w:rPr>
          <w:rFonts w:ascii="Arial" w:hAnsi="Arial" w:cs="Arial"/>
          <w:vertAlign w:val="superscript"/>
        </w:rPr>
        <w:t>+</w:t>
      </w:r>
      <w:r w:rsidR="00026772" w:rsidRPr="00026772">
        <w:rPr>
          <w:rFonts w:ascii="Arial" w:hAnsi="Arial" w:cs="Arial"/>
        </w:rPr>
        <w:t xml:space="preserve">(aq) → </w:t>
      </w:r>
      <w:proofErr w:type="gramStart"/>
      <w:r w:rsidR="00026772" w:rsidRPr="00026772">
        <w:rPr>
          <w:rFonts w:ascii="Arial" w:hAnsi="Arial" w:cs="Arial"/>
        </w:rPr>
        <w:t>VH(</w:t>
      </w:r>
      <w:proofErr w:type="gramEnd"/>
      <w:r w:rsidR="00026772" w:rsidRPr="00026772">
        <w:rPr>
          <w:rFonts w:ascii="Arial" w:hAnsi="Arial" w:cs="Arial"/>
        </w:rPr>
        <w:t>aq) + H</w:t>
      </w:r>
      <w:r w:rsidR="00026772" w:rsidRPr="00107F18">
        <w:rPr>
          <w:rFonts w:ascii="Arial" w:hAnsi="Arial" w:cs="Arial"/>
          <w:vertAlign w:val="subscript"/>
        </w:rPr>
        <w:t>2</w:t>
      </w:r>
      <w:r w:rsidR="00026772" w:rsidRPr="00026772">
        <w:rPr>
          <w:rFonts w:ascii="Arial" w:hAnsi="Arial" w:cs="Arial"/>
        </w:rPr>
        <w:t>O(ℓ)</w:t>
      </w:r>
    </w:p>
    <w:p w14:paraId="7F53B50D" w14:textId="72ED1499" w:rsidR="00026772" w:rsidRPr="00026772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2.4.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D’après l’allure de la courbe dans cette deuxième phase du titrage, indiquer si la conductivité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ionique molaire de l’ion vanillinate (</w:t>
      </w:r>
      <w:r w:rsidR="00107F18" w:rsidRPr="00026772">
        <w:rPr>
          <w:rFonts w:ascii="Arial" w:hAnsi="Arial" w:cs="Arial"/>
        </w:rPr>
        <w:t>V</w:t>
      </w:r>
      <w:r w:rsidR="00107F18" w:rsidRPr="009955DC">
        <w:rPr>
          <w:rFonts w:ascii="Arial" w:hAnsi="Arial" w:cs="Arial"/>
          <w:vertAlign w:val="superscript"/>
        </w:rPr>
        <w:t>–</w:t>
      </w:r>
      <w:r w:rsidRPr="00026772">
        <w:rPr>
          <w:rFonts w:ascii="Arial" w:hAnsi="Arial" w:cs="Arial"/>
        </w:rPr>
        <w:t>) est inférieure, supérieure ou égale à celle des ions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chlorure. Justifier.</w:t>
      </w:r>
    </w:p>
    <w:p w14:paraId="795FCBC5" w14:textId="5AFB98AD" w:rsidR="00026772" w:rsidRPr="00026772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2.5.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Déterminer le volume d’acide nécessaire au seul titrage de l’ion vanillinate, en explicitant votre</w:t>
      </w:r>
      <w:r>
        <w:rPr>
          <w:rFonts w:ascii="Arial" w:hAnsi="Arial" w:cs="Arial"/>
        </w:rPr>
        <w:t xml:space="preserve"> </w:t>
      </w:r>
      <w:r w:rsidRPr="00026772">
        <w:rPr>
          <w:rFonts w:ascii="Arial" w:hAnsi="Arial" w:cs="Arial"/>
        </w:rPr>
        <w:t>démarche.</w:t>
      </w:r>
    </w:p>
    <w:p w14:paraId="700FD7ED" w14:textId="2B469519" w:rsidR="00026772" w:rsidRDefault="00026772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2.6.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En déduire la valeur de la concentration</w:t>
      </w:r>
      <w:r w:rsidR="00D12335">
        <w:rPr>
          <w:rFonts w:ascii="Arial" w:hAnsi="Arial" w:cs="Arial"/>
        </w:rPr>
        <w:t xml:space="preserve"> </w:t>
      </w:r>
      <w:r w:rsidR="00D12335">
        <w:rPr>
          <w:rFonts w:ascii="Arial" w:hAnsi="Arial" w:cs="Arial"/>
          <w:i/>
          <w:iCs/>
        </w:rPr>
        <w:t>C</w:t>
      </w:r>
      <w:r w:rsidR="00D12335">
        <w:rPr>
          <w:rFonts w:ascii="Arial" w:hAnsi="Arial" w:cs="Arial"/>
          <w:vertAlign w:val="subscript"/>
        </w:rPr>
        <w:t>V-</w:t>
      </w:r>
      <w:r w:rsidRPr="00026772">
        <w:rPr>
          <w:rFonts w:ascii="Arial" w:hAnsi="Arial" w:cs="Arial"/>
        </w:rPr>
        <w:t xml:space="preserve"> en ions </w:t>
      </w:r>
      <w:proofErr w:type="spellStart"/>
      <w:r w:rsidRPr="00026772">
        <w:rPr>
          <w:rFonts w:ascii="Arial" w:hAnsi="Arial" w:cs="Arial"/>
        </w:rPr>
        <w:t>vanillinate</w:t>
      </w:r>
      <w:proofErr w:type="spellEnd"/>
      <w:r w:rsidRPr="00026772">
        <w:rPr>
          <w:rFonts w:ascii="Arial" w:hAnsi="Arial" w:cs="Arial"/>
        </w:rPr>
        <w:t xml:space="preserve"> dans la solution S</w:t>
      </w:r>
      <w:r w:rsidRPr="00026772">
        <w:rPr>
          <w:rFonts w:ascii="Arial" w:hAnsi="Arial" w:cs="Arial"/>
          <w:vertAlign w:val="subscript"/>
        </w:rPr>
        <w:t>1</w:t>
      </w:r>
      <w:r w:rsidRPr="00026772">
        <w:rPr>
          <w:rFonts w:ascii="Arial" w:hAnsi="Arial" w:cs="Arial"/>
        </w:rPr>
        <w:t>.</w:t>
      </w:r>
    </w:p>
    <w:p w14:paraId="6EB24A6E" w14:textId="48DE3EB1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1117F953" w14:textId="6324B639" w:rsidR="00026772" w:rsidRDefault="00026772" w:rsidP="00107F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01C494" w14:textId="694C527D" w:rsidR="00026772" w:rsidRPr="00107F18" w:rsidRDefault="00026772" w:rsidP="00107F1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107F18">
        <w:rPr>
          <w:rFonts w:ascii="Arial" w:hAnsi="Arial" w:cs="Arial"/>
          <w:b/>
          <w:bCs/>
        </w:rPr>
        <w:lastRenderedPageBreak/>
        <w:t>3.</w:t>
      </w:r>
      <w:r w:rsidRPr="00107F18">
        <w:rPr>
          <w:rFonts w:ascii="Arial" w:hAnsi="Arial" w:cs="Arial"/>
          <w:b/>
          <w:bCs/>
        </w:rPr>
        <w:tab/>
        <w:t>Dosage de la vanilline dans l’arôme alimentaire de vanille Bourbon</w:t>
      </w:r>
    </w:p>
    <w:p w14:paraId="28DF5335" w14:textId="77777777" w:rsidR="00026772" w:rsidRPr="00026772" w:rsidRDefault="00026772" w:rsidP="00107F18">
      <w:pPr>
        <w:spacing w:after="12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Protocole utilisé</w:t>
      </w:r>
    </w:p>
    <w:p w14:paraId="6C651421" w14:textId="4D950DD4" w:rsidR="00026772" w:rsidRPr="00026772" w:rsidRDefault="00026772" w:rsidP="00107F18">
      <w:pPr>
        <w:pStyle w:val="Paragraphedeliste"/>
        <w:numPr>
          <w:ilvl w:val="0"/>
          <w:numId w:val="4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Placer 1,0</w:t>
      </w:r>
      <w:r w:rsidR="00107F18">
        <w:rPr>
          <w:rFonts w:ascii="Arial" w:hAnsi="Arial" w:cs="Arial"/>
        </w:rPr>
        <w:t> </w:t>
      </w:r>
      <w:r w:rsidRPr="00026772">
        <w:rPr>
          <w:rFonts w:ascii="Arial" w:hAnsi="Arial" w:cs="Arial"/>
        </w:rPr>
        <w:t>mL d’arôme alimentaire de vanille Bourbon dans une ampoule à décanter avec un peu</w:t>
      </w:r>
      <w:r w:rsidR="00107F18">
        <w:rPr>
          <w:rFonts w:ascii="Arial" w:hAnsi="Arial" w:cs="Arial"/>
        </w:rPr>
        <w:t> </w:t>
      </w:r>
      <w:r w:rsidRPr="00026772">
        <w:rPr>
          <w:rFonts w:ascii="Arial" w:hAnsi="Arial" w:cs="Arial"/>
        </w:rPr>
        <w:t>d’eau.</w:t>
      </w:r>
    </w:p>
    <w:p w14:paraId="4058568D" w14:textId="54342E71" w:rsidR="00026772" w:rsidRPr="00026772" w:rsidRDefault="00026772" w:rsidP="00107F18">
      <w:pPr>
        <w:pStyle w:val="Paragraphedeliste"/>
        <w:numPr>
          <w:ilvl w:val="0"/>
          <w:numId w:val="4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Extraire la vanilline présente dans la phase aqueuse à l’aide d’éthanoate d’éthyle et conserver la phase organique obtenue dans l’ampoule à décanter.</w:t>
      </w:r>
    </w:p>
    <w:p w14:paraId="666684CC" w14:textId="58F19C38" w:rsidR="00026772" w:rsidRPr="00026772" w:rsidRDefault="00026772" w:rsidP="00107F18">
      <w:pPr>
        <w:pStyle w:val="Paragraphedeliste"/>
        <w:numPr>
          <w:ilvl w:val="0"/>
          <w:numId w:val="4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Extraire la vanilline présente dans la phase organique précédente avec une solution aqueuse d’hydroxyde de sodium.</w:t>
      </w:r>
    </w:p>
    <w:p w14:paraId="7ED8F2CA" w14:textId="78BCDCED" w:rsidR="00026772" w:rsidRPr="00026772" w:rsidRDefault="00026772" w:rsidP="00107F18">
      <w:pPr>
        <w:pStyle w:val="Paragraphedeliste"/>
        <w:numPr>
          <w:ilvl w:val="0"/>
          <w:numId w:val="4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Transvaser la phase aqueuse obtenue dans une fiole jaugée de 250,0 mL et compléter au trait de jauge avec la solution d’hydroxyde de sodium. On appelle S</w:t>
      </w:r>
      <w:r>
        <w:rPr>
          <w:rFonts w:ascii="Arial" w:hAnsi="Arial" w:cs="Arial"/>
          <w:vertAlign w:val="subscript"/>
        </w:rPr>
        <w:t>2</w:t>
      </w:r>
      <w:r w:rsidRPr="00026772">
        <w:rPr>
          <w:rFonts w:ascii="Arial" w:hAnsi="Arial" w:cs="Arial"/>
        </w:rPr>
        <w:t xml:space="preserve"> cette solution.</w:t>
      </w:r>
    </w:p>
    <w:p w14:paraId="36B2FFF6" w14:textId="78409A45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616B5122" w14:textId="77777777" w:rsidR="00107F18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63E72B63" w14:textId="40B9E5D5" w:rsidR="00026772" w:rsidRP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On réalise alors les spectres d’absorption UV-visible</w:t>
      </w:r>
      <w:r>
        <w:rPr>
          <w:rFonts w:ascii="Arial" w:hAnsi="Arial" w:cs="Arial"/>
        </w:rPr>
        <w:t> :</w:t>
      </w:r>
    </w:p>
    <w:p w14:paraId="3678667B" w14:textId="48696192" w:rsidR="00026772" w:rsidRPr="00026772" w:rsidRDefault="00026772" w:rsidP="00107F18">
      <w:pPr>
        <w:pStyle w:val="Paragraphedeliste"/>
        <w:numPr>
          <w:ilvl w:val="0"/>
          <w:numId w:val="4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26772">
        <w:rPr>
          <w:rFonts w:ascii="Arial" w:hAnsi="Arial" w:cs="Arial"/>
        </w:rPr>
        <w:t>de</w:t>
      </w:r>
      <w:proofErr w:type="gramEnd"/>
      <w:r w:rsidRPr="00026772">
        <w:rPr>
          <w:rFonts w:ascii="Arial" w:hAnsi="Arial" w:cs="Arial"/>
        </w:rPr>
        <w:t xml:space="preserve"> la solution S</w:t>
      </w:r>
      <w:r>
        <w:rPr>
          <w:rFonts w:ascii="Arial" w:hAnsi="Arial" w:cs="Arial"/>
          <w:vertAlign w:val="subscript"/>
        </w:rPr>
        <w:t>2</w:t>
      </w:r>
      <w:r w:rsidRPr="00026772">
        <w:rPr>
          <w:rFonts w:ascii="Arial" w:hAnsi="Arial" w:cs="Arial"/>
        </w:rPr>
        <w:t xml:space="preserve"> obtenue à l’aide du protocole ci-dessus</w:t>
      </w:r>
      <w:r w:rsidR="00107F18">
        <w:rPr>
          <w:rFonts w:ascii="Arial" w:hAnsi="Arial" w:cs="Arial"/>
        </w:rPr>
        <w:t> ;</w:t>
      </w:r>
    </w:p>
    <w:p w14:paraId="5D153810" w14:textId="5CE70259" w:rsidR="00026772" w:rsidRPr="00026772" w:rsidRDefault="00026772" w:rsidP="00107F18">
      <w:pPr>
        <w:pStyle w:val="Paragraphedeliste"/>
        <w:numPr>
          <w:ilvl w:val="0"/>
          <w:numId w:val="4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26772">
        <w:rPr>
          <w:rFonts w:ascii="Arial" w:hAnsi="Arial" w:cs="Arial"/>
        </w:rPr>
        <w:t>d’une</w:t>
      </w:r>
      <w:proofErr w:type="gramEnd"/>
      <w:r w:rsidRPr="00026772">
        <w:rPr>
          <w:rFonts w:ascii="Arial" w:hAnsi="Arial" w:cs="Arial"/>
        </w:rPr>
        <w:t xml:space="preserve"> solution S</w:t>
      </w:r>
      <w:r>
        <w:rPr>
          <w:rFonts w:ascii="Arial" w:hAnsi="Arial" w:cs="Arial"/>
          <w:vertAlign w:val="subscript"/>
        </w:rPr>
        <w:t>3</w:t>
      </w:r>
      <w:r w:rsidRPr="00026772">
        <w:rPr>
          <w:rFonts w:ascii="Arial" w:hAnsi="Arial" w:cs="Arial"/>
        </w:rPr>
        <w:t xml:space="preserve"> obtenue en diluant 1000 fois la solution de référence S</w:t>
      </w:r>
      <w:r>
        <w:rPr>
          <w:rFonts w:ascii="Arial" w:hAnsi="Arial" w:cs="Arial"/>
          <w:vertAlign w:val="subscript"/>
        </w:rPr>
        <w:t>1</w:t>
      </w:r>
      <w:r w:rsidRPr="00026772">
        <w:rPr>
          <w:rFonts w:ascii="Arial" w:hAnsi="Arial" w:cs="Arial"/>
        </w:rPr>
        <w:t xml:space="preserve"> étudiée dans la deuxième partie.</w:t>
      </w:r>
    </w:p>
    <w:p w14:paraId="1214B5B3" w14:textId="642E4EBB" w:rsidR="00026772" w:rsidRPr="00026772" w:rsidRDefault="00026772" w:rsidP="00107F1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La concentration en vanilline dans la solution S</w:t>
      </w:r>
      <w:r>
        <w:rPr>
          <w:rFonts w:ascii="Arial" w:hAnsi="Arial" w:cs="Arial"/>
          <w:vertAlign w:val="subscript"/>
        </w:rPr>
        <w:t>3</w:t>
      </w:r>
      <w:r w:rsidRPr="00026772">
        <w:rPr>
          <w:rFonts w:ascii="Arial" w:hAnsi="Arial" w:cs="Arial"/>
        </w:rPr>
        <w:t xml:space="preserve"> est </w:t>
      </w:r>
      <w:proofErr w:type="spellStart"/>
      <w:r w:rsidRPr="00026772">
        <w:rPr>
          <w:rFonts w:ascii="Arial" w:hAnsi="Arial" w:cs="Arial"/>
          <w:i/>
          <w:iCs/>
        </w:rPr>
        <w:t>C</w:t>
      </w:r>
      <w:r w:rsidRPr="00026772">
        <w:rPr>
          <w:rFonts w:ascii="Arial" w:hAnsi="Arial" w:cs="Arial"/>
          <w:i/>
          <w:iCs/>
          <w:vertAlign w:val="subscript"/>
        </w:rPr>
        <w:t>val</w:t>
      </w:r>
      <w:proofErr w:type="spellEnd"/>
      <w:r w:rsidRPr="00026772">
        <w:rPr>
          <w:rFonts w:ascii="Arial" w:hAnsi="Arial" w:cs="Arial"/>
        </w:rPr>
        <w:t xml:space="preserve"> = 5,3×10</w:t>
      </w:r>
      <w:r w:rsidRPr="00026772">
        <w:rPr>
          <w:rFonts w:ascii="Arial" w:hAnsi="Arial" w:cs="Arial"/>
          <w:vertAlign w:val="superscript"/>
        </w:rPr>
        <w:t>-5</w:t>
      </w:r>
      <w:r w:rsidRPr="00026772">
        <w:rPr>
          <w:rFonts w:ascii="Arial" w:hAnsi="Arial" w:cs="Arial"/>
        </w:rPr>
        <w:t xml:space="preserve"> </w:t>
      </w:r>
      <w:proofErr w:type="spellStart"/>
      <w:r w:rsidRPr="00026772">
        <w:rPr>
          <w:rFonts w:ascii="Arial" w:hAnsi="Arial" w:cs="Arial"/>
        </w:rPr>
        <w:t>mol·L</w:t>
      </w:r>
      <w:proofErr w:type="spellEnd"/>
      <w:r w:rsidRPr="00026772">
        <w:rPr>
          <w:rFonts w:ascii="Arial" w:hAnsi="Arial" w:cs="Arial"/>
          <w:vertAlign w:val="superscript"/>
        </w:rPr>
        <w:t>–1</w:t>
      </w:r>
      <w:r w:rsidRPr="00026772">
        <w:rPr>
          <w:rFonts w:ascii="Arial" w:hAnsi="Arial" w:cs="Arial"/>
        </w:rPr>
        <w:t>.</w:t>
      </w:r>
    </w:p>
    <w:p w14:paraId="33A8FCA1" w14:textId="6D148028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46857392" w14:textId="77777777" w:rsidR="00107F18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3F8B5F7B" w14:textId="5CDA802E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  <w:r w:rsidRPr="00026772">
        <w:rPr>
          <w:rFonts w:ascii="Arial" w:hAnsi="Arial" w:cs="Arial"/>
        </w:rPr>
        <w:t>On obtient les spectres ci-dessous.</w:t>
      </w:r>
    </w:p>
    <w:p w14:paraId="45744512" w14:textId="188A8DA5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1668BF12" w14:textId="44B86FC3" w:rsidR="00026772" w:rsidRDefault="00ED4C03" w:rsidP="00107F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BD74D39" wp14:editId="1E211880">
            <wp:extent cx="5981700" cy="28090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71" cy="28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BEA" w14:textId="08AF7764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p w14:paraId="4E83F884" w14:textId="77777777" w:rsidR="00107F18" w:rsidRPr="00026772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60DAC826" w14:textId="68815437" w:rsidR="00026772" w:rsidRDefault="00026772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3.1.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Les solutions S</w:t>
      </w:r>
      <w:r>
        <w:rPr>
          <w:rFonts w:ascii="Arial" w:hAnsi="Arial" w:cs="Arial"/>
          <w:vertAlign w:val="subscript"/>
        </w:rPr>
        <w:t>2</w:t>
      </w:r>
      <w:r w:rsidRPr="00026772">
        <w:rPr>
          <w:rFonts w:ascii="Arial" w:hAnsi="Arial" w:cs="Arial"/>
        </w:rPr>
        <w:t xml:space="preserve"> et S</w:t>
      </w:r>
      <w:r>
        <w:rPr>
          <w:rFonts w:ascii="Arial" w:hAnsi="Arial" w:cs="Arial"/>
          <w:vertAlign w:val="subscript"/>
        </w:rPr>
        <w:t>3</w:t>
      </w:r>
      <w:r w:rsidRPr="00026772">
        <w:rPr>
          <w:rFonts w:ascii="Arial" w:hAnsi="Arial" w:cs="Arial"/>
        </w:rPr>
        <w:t xml:space="preserve"> sont-elles colorées</w:t>
      </w:r>
      <w:r>
        <w:rPr>
          <w:rFonts w:ascii="Arial" w:hAnsi="Arial" w:cs="Arial"/>
        </w:rPr>
        <w:t> ?</w:t>
      </w:r>
      <w:r w:rsidRPr="00026772">
        <w:rPr>
          <w:rFonts w:ascii="Arial" w:hAnsi="Arial" w:cs="Arial"/>
        </w:rPr>
        <w:t xml:space="preserve"> Justifier.</w:t>
      </w:r>
    </w:p>
    <w:p w14:paraId="4488AFC0" w14:textId="77777777" w:rsidR="00FB5EED" w:rsidRPr="00026772" w:rsidRDefault="00FB5EED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E79AA00" w14:textId="4912ADDD" w:rsidR="00026772" w:rsidRPr="00026772" w:rsidRDefault="00026772" w:rsidP="00107F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6772">
        <w:rPr>
          <w:rFonts w:ascii="Arial" w:hAnsi="Arial" w:cs="Arial"/>
          <w:b/>
          <w:bCs/>
        </w:rPr>
        <w:t>3.2.</w:t>
      </w:r>
      <w:r>
        <w:rPr>
          <w:rFonts w:ascii="Arial" w:hAnsi="Arial" w:cs="Arial"/>
        </w:rPr>
        <w:tab/>
      </w:r>
      <w:r w:rsidRPr="00026772">
        <w:rPr>
          <w:rFonts w:ascii="Arial" w:hAnsi="Arial" w:cs="Arial"/>
        </w:rPr>
        <w:t>Estimer la masse de vanilline présente dans 1 litre d’arôme alimentaire, en supposant la loi de</w:t>
      </w:r>
      <w:r>
        <w:rPr>
          <w:rFonts w:ascii="Arial" w:hAnsi="Arial" w:cs="Arial"/>
        </w:rPr>
        <w:t xml:space="preserve"> </w:t>
      </w:r>
      <w:r w:rsidR="00107F18">
        <w:rPr>
          <w:rFonts w:ascii="Arial" w:hAnsi="Arial" w:cs="Arial"/>
        </w:rPr>
        <w:t xml:space="preserve">       </w:t>
      </w:r>
      <w:r w:rsidRPr="00026772">
        <w:rPr>
          <w:rFonts w:ascii="Arial" w:hAnsi="Arial" w:cs="Arial"/>
        </w:rPr>
        <w:t>Beer-Lambert vérifiée par les solutions dans les conditions de l’expérience.</w:t>
      </w:r>
    </w:p>
    <w:p w14:paraId="0A2B47F9" w14:textId="77777777" w:rsidR="00107F18" w:rsidRDefault="00107F18" w:rsidP="00107F18">
      <w:pPr>
        <w:spacing w:after="0" w:line="240" w:lineRule="auto"/>
        <w:jc w:val="both"/>
        <w:rPr>
          <w:rFonts w:ascii="Arial" w:hAnsi="Arial" w:cs="Arial"/>
        </w:rPr>
      </w:pPr>
    </w:p>
    <w:p w14:paraId="126F9415" w14:textId="6CA4D278" w:rsidR="00026772" w:rsidRPr="00107F18" w:rsidRDefault="00026772" w:rsidP="00107F1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07F18">
        <w:rPr>
          <w:rFonts w:ascii="Arial" w:hAnsi="Arial" w:cs="Arial"/>
          <w:i/>
          <w:iCs/>
        </w:rPr>
        <w:t>Le candidat est invité à prendre des initiatives et à présenter la démarche suivie, même si elle n’a pas abouti. La démarche est évaluée et nécessite d’être correctement présentée.</w:t>
      </w:r>
    </w:p>
    <w:p w14:paraId="15C6B727" w14:textId="036D0E37" w:rsidR="00026772" w:rsidRDefault="00026772" w:rsidP="00107F18">
      <w:pPr>
        <w:spacing w:after="0" w:line="240" w:lineRule="auto"/>
        <w:jc w:val="both"/>
        <w:rPr>
          <w:rFonts w:ascii="Arial" w:hAnsi="Arial" w:cs="Arial"/>
        </w:rPr>
      </w:pPr>
    </w:p>
    <w:sectPr w:rsidR="00026772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B928" w14:textId="77777777" w:rsidR="008464DF" w:rsidRDefault="008464DF" w:rsidP="001535DF">
      <w:pPr>
        <w:spacing w:after="0" w:line="240" w:lineRule="auto"/>
      </w:pPr>
      <w:r>
        <w:separator/>
      </w:r>
    </w:p>
  </w:endnote>
  <w:endnote w:type="continuationSeparator" w:id="0">
    <w:p w14:paraId="7401F1A8" w14:textId="77777777" w:rsidR="008464DF" w:rsidRDefault="008464DF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11E4" w14:textId="77777777" w:rsidR="008464DF" w:rsidRDefault="008464DF" w:rsidP="001535DF">
      <w:pPr>
        <w:spacing w:after="0" w:line="240" w:lineRule="auto"/>
      </w:pPr>
      <w:r>
        <w:separator/>
      </w:r>
    </w:p>
  </w:footnote>
  <w:footnote w:type="continuationSeparator" w:id="0">
    <w:p w14:paraId="58BB3235" w14:textId="77777777" w:rsidR="008464DF" w:rsidRDefault="008464DF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E7B"/>
    <w:multiLevelType w:val="hybridMultilevel"/>
    <w:tmpl w:val="354E381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048"/>
    <w:multiLevelType w:val="hybridMultilevel"/>
    <w:tmpl w:val="B8A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6D6"/>
    <w:multiLevelType w:val="hybridMultilevel"/>
    <w:tmpl w:val="59B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1D0"/>
    <w:multiLevelType w:val="multilevel"/>
    <w:tmpl w:val="228E000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446A5"/>
    <w:multiLevelType w:val="hybridMultilevel"/>
    <w:tmpl w:val="F78679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37066"/>
    <w:multiLevelType w:val="hybridMultilevel"/>
    <w:tmpl w:val="F2BCBFC2"/>
    <w:lvl w:ilvl="0" w:tplc="2DA46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84B5D"/>
    <w:multiLevelType w:val="hybridMultilevel"/>
    <w:tmpl w:val="067CF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91F90"/>
    <w:multiLevelType w:val="multilevel"/>
    <w:tmpl w:val="1308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3D54F4"/>
    <w:multiLevelType w:val="hybridMultilevel"/>
    <w:tmpl w:val="CDFCDE7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163A0"/>
    <w:multiLevelType w:val="hybridMultilevel"/>
    <w:tmpl w:val="8B76D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72A30"/>
    <w:multiLevelType w:val="multilevel"/>
    <w:tmpl w:val="548C04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5087D"/>
    <w:multiLevelType w:val="hybridMultilevel"/>
    <w:tmpl w:val="98881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B011F"/>
    <w:multiLevelType w:val="hybridMultilevel"/>
    <w:tmpl w:val="6FA45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CB1"/>
    <w:multiLevelType w:val="hybridMultilevel"/>
    <w:tmpl w:val="4874F2F4"/>
    <w:lvl w:ilvl="0" w:tplc="5F107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221CA"/>
    <w:multiLevelType w:val="hybridMultilevel"/>
    <w:tmpl w:val="DE6C7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35BA"/>
    <w:multiLevelType w:val="hybridMultilevel"/>
    <w:tmpl w:val="000871D2"/>
    <w:lvl w:ilvl="0" w:tplc="80E2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52266"/>
    <w:multiLevelType w:val="hybridMultilevel"/>
    <w:tmpl w:val="BD40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D2A79"/>
    <w:multiLevelType w:val="hybridMultilevel"/>
    <w:tmpl w:val="6160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70C"/>
    <w:multiLevelType w:val="hybridMultilevel"/>
    <w:tmpl w:val="A058D57A"/>
    <w:lvl w:ilvl="0" w:tplc="01124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925E7"/>
    <w:multiLevelType w:val="hybridMultilevel"/>
    <w:tmpl w:val="A4B4173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F3CFB"/>
    <w:multiLevelType w:val="hybridMultilevel"/>
    <w:tmpl w:val="71D8F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7"/>
  </w:num>
  <w:num w:numId="2" w16cid:durableId="147598150">
    <w:abstractNumId w:val="40"/>
  </w:num>
  <w:num w:numId="3" w16cid:durableId="1648433892">
    <w:abstractNumId w:val="30"/>
  </w:num>
  <w:num w:numId="4" w16cid:durableId="1579440187">
    <w:abstractNumId w:val="26"/>
  </w:num>
  <w:num w:numId="5" w16cid:durableId="1786654171">
    <w:abstractNumId w:val="6"/>
  </w:num>
  <w:num w:numId="6" w16cid:durableId="426509613">
    <w:abstractNumId w:val="24"/>
  </w:num>
  <w:num w:numId="7" w16cid:durableId="1339189770">
    <w:abstractNumId w:val="38"/>
  </w:num>
  <w:num w:numId="8" w16cid:durableId="156264607">
    <w:abstractNumId w:val="35"/>
  </w:num>
  <w:num w:numId="9" w16cid:durableId="1301494390">
    <w:abstractNumId w:val="10"/>
  </w:num>
  <w:num w:numId="10" w16cid:durableId="1025329350">
    <w:abstractNumId w:val="9"/>
  </w:num>
  <w:num w:numId="11" w16cid:durableId="595477101">
    <w:abstractNumId w:val="0"/>
  </w:num>
  <w:num w:numId="12" w16cid:durableId="1745761800">
    <w:abstractNumId w:val="14"/>
  </w:num>
  <w:num w:numId="13" w16cid:durableId="430784358">
    <w:abstractNumId w:val="16"/>
  </w:num>
  <w:num w:numId="14" w16cid:durableId="784421546">
    <w:abstractNumId w:val="13"/>
  </w:num>
  <w:num w:numId="15" w16cid:durableId="1142112093">
    <w:abstractNumId w:val="5"/>
  </w:num>
  <w:num w:numId="16" w16cid:durableId="173884022">
    <w:abstractNumId w:val="34"/>
  </w:num>
  <w:num w:numId="17" w16cid:durableId="977882690">
    <w:abstractNumId w:val="43"/>
  </w:num>
  <w:num w:numId="18" w16cid:durableId="1082532930">
    <w:abstractNumId w:val="42"/>
  </w:num>
  <w:num w:numId="19" w16cid:durableId="1601177123">
    <w:abstractNumId w:val="11"/>
  </w:num>
  <w:num w:numId="20" w16cid:durableId="301886545">
    <w:abstractNumId w:val="22"/>
  </w:num>
  <w:num w:numId="21" w16cid:durableId="1144539268">
    <w:abstractNumId w:val="25"/>
  </w:num>
  <w:num w:numId="22" w16cid:durableId="2103256056">
    <w:abstractNumId w:val="15"/>
  </w:num>
  <w:num w:numId="23" w16cid:durableId="1265067020">
    <w:abstractNumId w:val="32"/>
  </w:num>
  <w:num w:numId="24" w16cid:durableId="933516053">
    <w:abstractNumId w:val="12"/>
  </w:num>
  <w:num w:numId="25" w16cid:durableId="610013801">
    <w:abstractNumId w:val="41"/>
  </w:num>
  <w:num w:numId="26" w16cid:durableId="124741311">
    <w:abstractNumId w:val="44"/>
  </w:num>
  <w:num w:numId="27" w16cid:durableId="138042328">
    <w:abstractNumId w:val="28"/>
  </w:num>
  <w:num w:numId="28" w16cid:durableId="943805374">
    <w:abstractNumId w:val="33"/>
  </w:num>
  <w:num w:numId="29" w16cid:durableId="2027319673">
    <w:abstractNumId w:val="8"/>
  </w:num>
  <w:num w:numId="30" w16cid:durableId="1914582608">
    <w:abstractNumId w:val="29"/>
  </w:num>
  <w:num w:numId="31" w16cid:durableId="1430396096">
    <w:abstractNumId w:val="20"/>
  </w:num>
  <w:num w:numId="32" w16cid:durableId="1825392093">
    <w:abstractNumId w:val="2"/>
  </w:num>
  <w:num w:numId="33" w16cid:durableId="1507987057">
    <w:abstractNumId w:val="19"/>
  </w:num>
  <w:num w:numId="34" w16cid:durableId="1634755466">
    <w:abstractNumId w:val="39"/>
  </w:num>
  <w:num w:numId="35" w16cid:durableId="1268931208">
    <w:abstractNumId w:val="27"/>
  </w:num>
  <w:num w:numId="36" w16cid:durableId="1568610362">
    <w:abstractNumId w:val="3"/>
  </w:num>
  <w:num w:numId="37" w16cid:durableId="779691595">
    <w:abstractNumId w:val="31"/>
  </w:num>
  <w:num w:numId="38" w16cid:durableId="1053849384">
    <w:abstractNumId w:val="4"/>
  </w:num>
  <w:num w:numId="39" w16cid:durableId="2117363916">
    <w:abstractNumId w:val="18"/>
  </w:num>
  <w:num w:numId="40" w16cid:durableId="1102989263">
    <w:abstractNumId w:val="17"/>
  </w:num>
  <w:num w:numId="41" w16cid:durableId="381751818">
    <w:abstractNumId w:val="21"/>
  </w:num>
  <w:num w:numId="42" w16cid:durableId="620303012">
    <w:abstractNumId w:val="23"/>
  </w:num>
  <w:num w:numId="43" w16cid:durableId="1033766794">
    <w:abstractNumId w:val="36"/>
  </w:num>
  <w:num w:numId="44" w16cid:durableId="816217706">
    <w:abstractNumId w:val="7"/>
  </w:num>
  <w:num w:numId="45" w16cid:durableId="1809979933">
    <w:abstractNumId w:val="45"/>
  </w:num>
  <w:num w:numId="46" w16cid:durableId="60380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26772"/>
    <w:rsid w:val="00036B43"/>
    <w:rsid w:val="00040449"/>
    <w:rsid w:val="00101E1B"/>
    <w:rsid w:val="00107F18"/>
    <w:rsid w:val="00122699"/>
    <w:rsid w:val="001535DF"/>
    <w:rsid w:val="00161916"/>
    <w:rsid w:val="00180E49"/>
    <w:rsid w:val="00192689"/>
    <w:rsid w:val="001A5F81"/>
    <w:rsid w:val="001C751B"/>
    <w:rsid w:val="00220886"/>
    <w:rsid w:val="00233A95"/>
    <w:rsid w:val="00234D33"/>
    <w:rsid w:val="002459FF"/>
    <w:rsid w:val="002543CD"/>
    <w:rsid w:val="002674F7"/>
    <w:rsid w:val="00270BAB"/>
    <w:rsid w:val="00283C9E"/>
    <w:rsid w:val="00295B03"/>
    <w:rsid w:val="002F1B8B"/>
    <w:rsid w:val="002F1F28"/>
    <w:rsid w:val="00306617"/>
    <w:rsid w:val="00371118"/>
    <w:rsid w:val="0037522D"/>
    <w:rsid w:val="0038007F"/>
    <w:rsid w:val="00387A6D"/>
    <w:rsid w:val="003901BC"/>
    <w:rsid w:val="00390AE8"/>
    <w:rsid w:val="00393FE1"/>
    <w:rsid w:val="003B14C9"/>
    <w:rsid w:val="003F3BB3"/>
    <w:rsid w:val="00406266"/>
    <w:rsid w:val="0042165A"/>
    <w:rsid w:val="00462EE7"/>
    <w:rsid w:val="0046426E"/>
    <w:rsid w:val="0048692D"/>
    <w:rsid w:val="004B52C7"/>
    <w:rsid w:val="004E100A"/>
    <w:rsid w:val="00524E29"/>
    <w:rsid w:val="0053209A"/>
    <w:rsid w:val="005847DE"/>
    <w:rsid w:val="005878B3"/>
    <w:rsid w:val="00596C9C"/>
    <w:rsid w:val="005B0D07"/>
    <w:rsid w:val="00622147"/>
    <w:rsid w:val="00635E23"/>
    <w:rsid w:val="00683ED2"/>
    <w:rsid w:val="00692DDB"/>
    <w:rsid w:val="006F007E"/>
    <w:rsid w:val="006F2E6D"/>
    <w:rsid w:val="00730566"/>
    <w:rsid w:val="007462F8"/>
    <w:rsid w:val="00772069"/>
    <w:rsid w:val="00791454"/>
    <w:rsid w:val="007D512C"/>
    <w:rsid w:val="007F6F0D"/>
    <w:rsid w:val="00803B88"/>
    <w:rsid w:val="008464DF"/>
    <w:rsid w:val="008E38DA"/>
    <w:rsid w:val="00926C37"/>
    <w:rsid w:val="009703B6"/>
    <w:rsid w:val="009955DC"/>
    <w:rsid w:val="009B4C12"/>
    <w:rsid w:val="00A16488"/>
    <w:rsid w:val="00A73437"/>
    <w:rsid w:val="00A82BFF"/>
    <w:rsid w:val="00A86B99"/>
    <w:rsid w:val="00AB2A41"/>
    <w:rsid w:val="00AC0230"/>
    <w:rsid w:val="00B158CD"/>
    <w:rsid w:val="00B23B97"/>
    <w:rsid w:val="00B249DC"/>
    <w:rsid w:val="00B25BF5"/>
    <w:rsid w:val="00B42BC4"/>
    <w:rsid w:val="00B65A7E"/>
    <w:rsid w:val="00B864FC"/>
    <w:rsid w:val="00BC555B"/>
    <w:rsid w:val="00C73CD9"/>
    <w:rsid w:val="00CB17D9"/>
    <w:rsid w:val="00CF1863"/>
    <w:rsid w:val="00D12335"/>
    <w:rsid w:val="00D20592"/>
    <w:rsid w:val="00D46709"/>
    <w:rsid w:val="00D6720F"/>
    <w:rsid w:val="00DA3BA2"/>
    <w:rsid w:val="00DD3366"/>
    <w:rsid w:val="00DF6E0E"/>
    <w:rsid w:val="00E16ED2"/>
    <w:rsid w:val="00E474B7"/>
    <w:rsid w:val="00E63716"/>
    <w:rsid w:val="00EA0015"/>
    <w:rsid w:val="00EB63DF"/>
    <w:rsid w:val="00ED4C03"/>
    <w:rsid w:val="00F15987"/>
    <w:rsid w:val="00F31BF9"/>
    <w:rsid w:val="00FB34C8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5F2A-3EAF-408F-A5CA-DFA3E58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2024-01-13T14:24:00Z</cp:lastPrinted>
  <dcterms:created xsi:type="dcterms:W3CDTF">2024-01-13T14:24:00Z</dcterms:created>
  <dcterms:modified xsi:type="dcterms:W3CDTF">2024-01-13T14:24:00Z</dcterms:modified>
</cp:coreProperties>
</file>