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33B6289B" w:rsidR="00040449" w:rsidRPr="00150458" w:rsidRDefault="00A87896" w:rsidP="001504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0458">
        <w:rPr>
          <w:rFonts w:ascii="Arial" w:hAnsi="Arial" w:cs="Arial"/>
          <w:b/>
          <w:bCs/>
          <w:sz w:val="24"/>
          <w:szCs w:val="24"/>
        </w:rPr>
        <w:t>Centres étrangers 2</w:t>
      </w:r>
      <w:r w:rsidR="005878B3" w:rsidRPr="00150458">
        <w:rPr>
          <w:rFonts w:ascii="Arial" w:hAnsi="Arial" w:cs="Arial"/>
          <w:b/>
          <w:bCs/>
          <w:sz w:val="24"/>
          <w:szCs w:val="24"/>
        </w:rPr>
        <w:t xml:space="preserve"> </w:t>
      </w:r>
      <w:r w:rsidR="0046426E" w:rsidRPr="00150458">
        <w:rPr>
          <w:rFonts w:ascii="Arial" w:hAnsi="Arial" w:cs="Arial"/>
          <w:b/>
          <w:bCs/>
          <w:sz w:val="24"/>
          <w:szCs w:val="24"/>
        </w:rPr>
        <w:t xml:space="preserve">2023 Jour </w:t>
      </w:r>
      <w:r w:rsidR="00180E49" w:rsidRPr="00150458">
        <w:rPr>
          <w:rFonts w:ascii="Arial" w:hAnsi="Arial" w:cs="Arial"/>
          <w:b/>
          <w:bCs/>
          <w:sz w:val="24"/>
          <w:szCs w:val="24"/>
        </w:rPr>
        <w:t>2</w:t>
      </w:r>
      <w:r w:rsidR="00150458" w:rsidRPr="00150458">
        <w:rPr>
          <w:rFonts w:ascii="Arial" w:hAnsi="Arial" w:cs="Arial"/>
          <w:b/>
          <w:bCs/>
          <w:sz w:val="24"/>
          <w:szCs w:val="24"/>
        </w:rPr>
        <w:tab/>
      </w:r>
      <w:r w:rsidR="00150458" w:rsidRPr="00150458">
        <w:rPr>
          <w:rFonts w:ascii="Arial" w:hAnsi="Arial" w:cs="Arial"/>
          <w:b/>
          <w:bCs/>
          <w:sz w:val="24"/>
          <w:szCs w:val="24"/>
        </w:rPr>
        <w:tab/>
      </w:r>
      <w:r w:rsidR="00150458" w:rsidRPr="00150458">
        <w:rPr>
          <w:rFonts w:ascii="Arial" w:hAnsi="Arial" w:cs="Arial"/>
          <w:b/>
          <w:bCs/>
          <w:sz w:val="24"/>
          <w:szCs w:val="24"/>
        </w:rPr>
        <w:tab/>
      </w:r>
      <w:r w:rsidR="00150458" w:rsidRPr="00150458">
        <w:rPr>
          <w:rFonts w:ascii="Arial" w:hAnsi="Arial" w:cs="Arial"/>
          <w:b/>
          <w:bCs/>
          <w:sz w:val="24"/>
          <w:szCs w:val="24"/>
        </w:rPr>
        <w:tab/>
      </w:r>
      <w:r w:rsidR="00150458" w:rsidRPr="00150458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150458" w:rsidRPr="00150458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150458" w:rsidRPr="001504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7904DCC7" w:rsidR="00EB63DF" w:rsidRPr="00070044" w:rsidRDefault="00EB63DF" w:rsidP="001504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0044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070044" w:rsidRPr="0007004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70044" w:rsidRPr="00070044">
        <w:rPr>
          <w:rFonts w:ascii="Arial" w:hAnsi="Arial" w:cs="Arial"/>
          <w:b/>
          <w:bCs/>
          <w:sz w:val="24"/>
          <w:szCs w:val="24"/>
        </w:rPr>
        <w:t> :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="00070044" w:rsidRPr="00070044">
        <w:rPr>
          <w:rFonts w:ascii="Arial" w:hAnsi="Arial" w:cs="Arial"/>
          <w:b/>
          <w:bCs/>
          <w:caps/>
          <w:sz w:val="24"/>
          <w:szCs w:val="24"/>
        </w:rPr>
        <w:t>synthèse et recyclage du PET en vanilline</w:t>
      </w:r>
      <w:r w:rsidR="00122699"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044">
        <w:rPr>
          <w:rFonts w:ascii="Arial" w:hAnsi="Arial" w:cs="Arial"/>
          <w:b/>
          <w:bCs/>
          <w:sz w:val="24"/>
          <w:szCs w:val="24"/>
        </w:rPr>
        <w:t>(</w:t>
      </w:r>
      <w:r w:rsidR="00070044" w:rsidRPr="00070044">
        <w:rPr>
          <w:rFonts w:ascii="Arial" w:hAnsi="Arial" w:cs="Arial"/>
          <w:b/>
          <w:bCs/>
          <w:sz w:val="24"/>
          <w:szCs w:val="24"/>
        </w:rPr>
        <w:t>5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070044" w:rsidRDefault="00EB63DF" w:rsidP="00070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7658FCA1" w:rsidR="00EB63DF" w:rsidRPr="00070044" w:rsidRDefault="00EB63DF" w:rsidP="00070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B31E9" w14:textId="73DE3B45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 polytéréphtalate d’éthylène (PET) est également connu sous de nombreux autres noms comme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Dacron (</w:t>
      </w:r>
      <w:r w:rsidR="008B14C6">
        <w:rPr>
          <w:rFonts w:ascii="Arial" w:hAnsi="Arial" w:cs="Arial"/>
        </w:rPr>
        <w:t>USA</w:t>
      </w:r>
      <w:r w:rsidRPr="00070044">
        <w:rPr>
          <w:rFonts w:ascii="Arial" w:hAnsi="Arial" w:cs="Arial"/>
        </w:rPr>
        <w:t>) ou tergal (France). Il fait partie de la famille des polyesters.</w:t>
      </w:r>
    </w:p>
    <w:p w14:paraId="7F226487" w14:textId="77CD3A2C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 PET est surtout utilisé pour la production de fibres synthétiques et pour la production de bouteilles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en plastique.</w:t>
      </w:r>
    </w:p>
    <w:p w14:paraId="65778D72" w14:textId="173D9DC0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Plusieurs méthodes permettent aujourd’hui de le recycler.</w:t>
      </w:r>
    </w:p>
    <w:p w14:paraId="31D99AA7" w14:textId="77777777" w:rsidR="00070044" w:rsidRP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5D7824DA" w14:textId="23798D33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Cet exercice comporte deux parties. Dans la première partie, nous étudierons la synthèse du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polytéréphtalate d’éthylène (PET) puis dans la deuxième partie, nous verrons l’une des voies de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recyclage du PET, la voie microbienne.</w:t>
      </w:r>
    </w:p>
    <w:p w14:paraId="092A9581" w14:textId="38304EB8" w:rsid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3048AED4" w14:textId="77777777" w:rsidR="00E63E06" w:rsidRDefault="00E63E06" w:rsidP="00070044">
      <w:pPr>
        <w:spacing w:after="0" w:line="240" w:lineRule="auto"/>
        <w:jc w:val="both"/>
        <w:rPr>
          <w:rFonts w:ascii="Arial" w:hAnsi="Arial" w:cs="Arial"/>
        </w:rPr>
      </w:pPr>
    </w:p>
    <w:p w14:paraId="028DF51A" w14:textId="77777777" w:rsidR="00070044" w:rsidRP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652AB97A" w14:textId="451863E8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  <w:b/>
          <w:bCs/>
        </w:rPr>
        <w:t>Données</w:t>
      </w:r>
      <w:r w:rsidR="00070044" w:rsidRPr="00070044">
        <w:rPr>
          <w:rFonts w:ascii="Arial" w:hAnsi="Arial" w:cs="Arial"/>
          <w:b/>
          <w:bCs/>
        </w:rPr>
        <w:t> :</w:t>
      </w:r>
      <w:r w:rsidRPr="00070044">
        <w:rPr>
          <w:rFonts w:ascii="Arial" w:hAnsi="Arial" w:cs="Arial"/>
        </w:rPr>
        <w:t xml:space="preserve"> masses molaires atomiques M(O) = 16,0 g·mol</w:t>
      </w:r>
      <w:r w:rsidRPr="00070044">
        <w:rPr>
          <w:rFonts w:ascii="Arial" w:hAnsi="Arial" w:cs="Arial"/>
          <w:vertAlign w:val="superscript"/>
        </w:rPr>
        <w:t>-1</w:t>
      </w:r>
      <w:r w:rsidR="008B14C6" w:rsidRPr="008B14C6">
        <w:rPr>
          <w:rFonts w:ascii="Arial" w:hAnsi="Arial" w:cs="Arial"/>
        </w:rPr>
        <w:t> ;</w:t>
      </w:r>
      <w:r w:rsidR="008B14C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M(H) = 1,0 g·mol</w:t>
      </w:r>
      <w:r w:rsidRPr="00070044">
        <w:rPr>
          <w:rFonts w:ascii="Arial" w:hAnsi="Arial" w:cs="Arial"/>
          <w:vertAlign w:val="superscript"/>
        </w:rPr>
        <w:t>-1</w:t>
      </w:r>
      <w:r w:rsidRPr="00070044">
        <w:rPr>
          <w:rFonts w:ascii="Arial" w:hAnsi="Arial" w:cs="Arial"/>
        </w:rPr>
        <w:t>.</w:t>
      </w:r>
    </w:p>
    <w:p w14:paraId="2F5C2FB1" w14:textId="6F67C784" w:rsid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7B5DFE3F" w14:textId="77777777" w:rsidR="00E63E06" w:rsidRDefault="00E63E06" w:rsidP="00070044">
      <w:pPr>
        <w:spacing w:after="0" w:line="240" w:lineRule="auto"/>
        <w:jc w:val="both"/>
        <w:rPr>
          <w:rFonts w:ascii="Arial" w:hAnsi="Arial" w:cs="Arial"/>
        </w:rPr>
      </w:pPr>
    </w:p>
    <w:p w14:paraId="1CBD1FE5" w14:textId="77777777" w:rsidR="00070044" w:rsidRP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331A67F2" w14:textId="77777777" w:rsidR="005E20BA" w:rsidRPr="00A87896" w:rsidRDefault="005E20BA" w:rsidP="0007004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87896">
        <w:rPr>
          <w:rFonts w:ascii="Arial" w:hAnsi="Arial" w:cs="Arial"/>
          <w:b/>
          <w:bCs/>
        </w:rPr>
        <w:t xml:space="preserve">A. </w:t>
      </w:r>
      <w:r w:rsidRPr="00A87896">
        <w:rPr>
          <w:rFonts w:ascii="Arial" w:hAnsi="Arial" w:cs="Arial"/>
          <w:b/>
          <w:bCs/>
          <w:u w:val="single"/>
        </w:rPr>
        <w:t>Synthèse du PET</w:t>
      </w:r>
    </w:p>
    <w:p w14:paraId="0F5A24D3" w14:textId="53BD999D" w:rsidR="005E20BA" w:rsidRDefault="005E20BA" w:rsidP="00070044">
      <w:pPr>
        <w:spacing w:before="120"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L’une des voies de synthèse utilise la transformation chimique prenant place entre l’acide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téréphtalique et l’éthylène glycol. En nomenclature officielle l’éthylène glycol se nomme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éthan</w:t>
      </w:r>
      <w:r w:rsidR="008B14C6">
        <w:rPr>
          <w:rFonts w:ascii="Arial" w:hAnsi="Arial" w:cs="Arial"/>
        </w:rPr>
        <w:t>e</w:t>
      </w:r>
      <w:r w:rsidRPr="00070044">
        <w:rPr>
          <w:rFonts w:ascii="Arial" w:hAnsi="Arial" w:cs="Arial"/>
        </w:rPr>
        <w:t>-1,2-diol.</w:t>
      </w:r>
    </w:p>
    <w:p w14:paraId="2119ED7A" w14:textId="7AB813BE" w:rsid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02DA6999" w14:textId="5FEFBB49" w:rsidR="00070044" w:rsidRDefault="00070044" w:rsidP="00070044">
      <w:pPr>
        <w:spacing w:after="0" w:line="240" w:lineRule="auto"/>
        <w:jc w:val="both"/>
        <w:rPr>
          <w:rFonts w:ascii="Arial" w:hAnsi="Arial" w:cs="Arial"/>
        </w:rPr>
      </w:pPr>
    </w:p>
    <w:p w14:paraId="0AF0B7DD" w14:textId="77777777" w:rsidR="00E63E06" w:rsidRPr="00070044" w:rsidRDefault="00E63E06" w:rsidP="00070044">
      <w:pPr>
        <w:spacing w:after="0" w:line="240" w:lineRule="auto"/>
        <w:jc w:val="both"/>
        <w:rPr>
          <w:rFonts w:ascii="Arial" w:hAnsi="Arial" w:cs="Arial"/>
        </w:rPr>
      </w:pPr>
    </w:p>
    <w:p w14:paraId="05194D02" w14:textId="719FEBF5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L’équation de la réaction modélisant la transformation chimique entre l’acide téréphtalique et</w:t>
      </w:r>
      <w:r w:rsidR="00070044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l’éthylène glycol conduisant au PET et à l’espèce chimique notée A, est la suivante</w:t>
      </w:r>
      <w:r w:rsidR="00070044">
        <w:rPr>
          <w:rFonts w:ascii="Arial" w:hAnsi="Arial" w:cs="Arial"/>
        </w:rPr>
        <w:t> :</w:t>
      </w:r>
    </w:p>
    <w:p w14:paraId="1F2C0F77" w14:textId="4BBE099A" w:rsidR="00070044" w:rsidRPr="00070044" w:rsidRDefault="00A87896" w:rsidP="000700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07958C" wp14:editId="00D6CE89">
            <wp:extent cx="6470650" cy="6731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FDD9" w14:textId="7971DBDC" w:rsidR="005E20BA" w:rsidRPr="00070044" w:rsidRDefault="005E20BA" w:rsidP="00A87896">
      <w:pPr>
        <w:tabs>
          <w:tab w:val="left" w:pos="2835"/>
          <w:tab w:val="left" w:pos="6946"/>
        </w:tabs>
        <w:spacing w:after="0" w:line="240" w:lineRule="auto"/>
        <w:ind w:left="284"/>
        <w:jc w:val="both"/>
        <w:rPr>
          <w:rFonts w:ascii="Arial" w:hAnsi="Arial" w:cs="Arial"/>
        </w:rPr>
      </w:pPr>
      <w:proofErr w:type="gramStart"/>
      <w:r w:rsidRPr="00070044">
        <w:rPr>
          <w:rFonts w:ascii="Arial" w:hAnsi="Arial" w:cs="Arial"/>
        </w:rPr>
        <w:t>acide</w:t>
      </w:r>
      <w:proofErr w:type="gramEnd"/>
      <w:r w:rsidRPr="00070044">
        <w:rPr>
          <w:rFonts w:ascii="Arial" w:hAnsi="Arial" w:cs="Arial"/>
        </w:rPr>
        <w:t xml:space="preserve"> téréphtalique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éthylène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glycol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PET</w:t>
      </w:r>
    </w:p>
    <w:p w14:paraId="42B748E3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59FA71D1" w14:textId="4FCA52AE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1FD2BC4C" w14:textId="77777777" w:rsidR="00E63E06" w:rsidRDefault="00E63E06" w:rsidP="00070044">
      <w:pPr>
        <w:spacing w:after="0" w:line="240" w:lineRule="auto"/>
        <w:jc w:val="both"/>
        <w:rPr>
          <w:rFonts w:ascii="Arial" w:hAnsi="Arial" w:cs="Arial"/>
        </w:rPr>
      </w:pPr>
    </w:p>
    <w:p w14:paraId="7F36498A" w14:textId="3837577C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 protocole expérimental de synthèse du PET est le suivant</w:t>
      </w:r>
      <w:r w:rsidR="00A87896">
        <w:rPr>
          <w:rFonts w:ascii="Arial" w:hAnsi="Arial" w:cs="Arial"/>
        </w:rPr>
        <w:t> :</w:t>
      </w:r>
    </w:p>
    <w:p w14:paraId="3E23EF49" w14:textId="77777777" w:rsidR="00A87896" w:rsidRPr="00070044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51F6783C" w14:textId="61F15EC9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Étape 1</w:t>
      </w:r>
      <w:r w:rsidR="00A87896">
        <w:rPr>
          <w:rFonts w:ascii="Arial" w:hAnsi="Arial" w:cs="Arial"/>
        </w:rPr>
        <w:t> :</w:t>
      </w:r>
      <w:r w:rsidRPr="00070044">
        <w:rPr>
          <w:rFonts w:ascii="Arial" w:hAnsi="Arial" w:cs="Arial"/>
        </w:rPr>
        <w:t xml:space="preserve"> on introduit dans un ballon 20,0 g d’acide téréphtalique et 40 mL d’éthylène glycol, puis le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mélange est porté à reflux sous vide pendant 5 h. Le produit A est éliminé au cours de la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transformation. Le milieu réactionnel obtenu à l’issue de la transformation est visqueux et de couleur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brune grisâtre.</w:t>
      </w:r>
    </w:p>
    <w:p w14:paraId="03CE1E1D" w14:textId="77777777" w:rsidR="00A87896" w:rsidRPr="00070044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0A5F6347" w14:textId="1565F0E4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Étape 2</w:t>
      </w:r>
      <w:r w:rsidR="00A87896">
        <w:rPr>
          <w:rFonts w:ascii="Arial" w:hAnsi="Arial" w:cs="Arial"/>
        </w:rPr>
        <w:t> :</w:t>
      </w:r>
      <w:r w:rsidRPr="00070044">
        <w:rPr>
          <w:rFonts w:ascii="Arial" w:hAnsi="Arial" w:cs="Arial"/>
        </w:rPr>
        <w:t xml:space="preserve"> ce milieu réactionnel contenant le PET est traité par plusieurs lavages successifs à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l’éthanol et au pentane.</w:t>
      </w:r>
    </w:p>
    <w:p w14:paraId="02D710B5" w14:textId="77777777" w:rsidR="00A87896" w:rsidRPr="00070044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4EE09A08" w14:textId="7982060D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Étape 3</w:t>
      </w:r>
      <w:r w:rsidR="00A87896">
        <w:rPr>
          <w:rFonts w:ascii="Arial" w:hAnsi="Arial" w:cs="Arial"/>
        </w:rPr>
        <w:t> :</w:t>
      </w:r>
      <w:r w:rsidRPr="00070044">
        <w:rPr>
          <w:rFonts w:ascii="Arial" w:hAnsi="Arial" w:cs="Arial"/>
        </w:rPr>
        <w:t xml:space="preserve"> ce milieu réactionnel est ensuite séché puis analysé par chromatographie et par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spectrométrie infrarouge (IR).</w:t>
      </w:r>
    </w:p>
    <w:p w14:paraId="2E5291D0" w14:textId="30B0B45A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</w:p>
    <w:p w14:paraId="0603A7BB" w14:textId="615E825C" w:rsidR="005E20BA" w:rsidRPr="00070044" w:rsidRDefault="005E20BA" w:rsidP="00070044">
      <w:pPr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br w:type="page"/>
      </w:r>
    </w:p>
    <w:tbl>
      <w:tblPr>
        <w:tblStyle w:val="Grilledutableau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8"/>
        <w:gridCol w:w="1604"/>
        <w:gridCol w:w="1604"/>
        <w:gridCol w:w="1604"/>
        <w:gridCol w:w="1604"/>
        <w:gridCol w:w="2084"/>
      </w:tblGrid>
      <w:tr w:rsidR="005E20BA" w:rsidRPr="00A87896" w14:paraId="2AF4150B" w14:textId="77777777" w:rsidTr="00A87896">
        <w:tc>
          <w:tcPr>
            <w:tcW w:w="1698" w:type="dxa"/>
            <w:vAlign w:val="center"/>
          </w:tcPr>
          <w:p w14:paraId="210465EE" w14:textId="7997C839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7896">
              <w:rPr>
                <w:rFonts w:ascii="Arial" w:hAnsi="Arial" w:cs="Arial"/>
                <w:b/>
                <w:bCs/>
              </w:rPr>
              <w:lastRenderedPageBreak/>
              <w:t>réactif</w:t>
            </w:r>
            <w:proofErr w:type="gramEnd"/>
          </w:p>
        </w:tc>
        <w:tc>
          <w:tcPr>
            <w:tcW w:w="1604" w:type="dxa"/>
            <w:vAlign w:val="center"/>
          </w:tcPr>
          <w:p w14:paraId="4408A917" w14:textId="77777777" w:rsidR="00A87896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7896">
              <w:rPr>
                <w:rFonts w:ascii="Arial" w:hAnsi="Arial" w:cs="Arial"/>
                <w:b/>
                <w:bCs/>
              </w:rPr>
              <w:t>masse</w:t>
            </w:r>
            <w:proofErr w:type="gramEnd"/>
            <w:r w:rsidRPr="00A87896">
              <w:rPr>
                <w:rFonts w:ascii="Arial" w:hAnsi="Arial" w:cs="Arial"/>
                <w:b/>
                <w:bCs/>
              </w:rPr>
              <w:t xml:space="preserve"> (g)</w:t>
            </w:r>
          </w:p>
          <w:p w14:paraId="1B4BA429" w14:textId="77777777" w:rsidR="00A87896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7896">
              <w:rPr>
                <w:rFonts w:ascii="Arial" w:hAnsi="Arial" w:cs="Arial"/>
                <w:b/>
                <w:bCs/>
              </w:rPr>
              <w:t>ou</w:t>
            </w:r>
            <w:proofErr w:type="gramEnd"/>
            <w:r w:rsidRPr="00A87896">
              <w:rPr>
                <w:rFonts w:ascii="Arial" w:hAnsi="Arial" w:cs="Arial"/>
                <w:b/>
                <w:bCs/>
              </w:rPr>
              <w:t xml:space="preserve"> volume</w:t>
            </w:r>
          </w:p>
          <w:p w14:paraId="135BCCBA" w14:textId="3FE57357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89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87896">
              <w:rPr>
                <w:rFonts w:ascii="Arial" w:hAnsi="Arial" w:cs="Arial"/>
                <w:b/>
                <w:bCs/>
              </w:rPr>
              <w:t>mL</w:t>
            </w:r>
            <w:proofErr w:type="gramEnd"/>
            <w:r w:rsidRPr="00A8789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04" w:type="dxa"/>
            <w:vAlign w:val="center"/>
          </w:tcPr>
          <w:p w14:paraId="399CE3A8" w14:textId="6877D1B0" w:rsidR="00A87896" w:rsidRPr="00A87896" w:rsidRDefault="008B14C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</w:t>
            </w:r>
            <w:r w:rsidR="00A87896" w:rsidRPr="00A87896">
              <w:rPr>
                <w:rFonts w:ascii="Arial" w:hAnsi="Arial" w:cs="Arial"/>
                <w:b/>
                <w:bCs/>
              </w:rPr>
              <w:t>asse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7896" w:rsidRPr="00A87896">
              <w:rPr>
                <w:rFonts w:ascii="Arial" w:hAnsi="Arial" w:cs="Arial"/>
                <w:b/>
                <w:bCs/>
              </w:rPr>
              <w:t>molaire</w:t>
            </w:r>
          </w:p>
          <w:p w14:paraId="444CEE8B" w14:textId="52D67E3E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89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87896">
              <w:rPr>
                <w:rFonts w:ascii="Arial" w:hAnsi="Arial" w:cs="Arial"/>
                <w:b/>
                <w:bCs/>
              </w:rPr>
              <w:t>g</w:t>
            </w:r>
            <w:proofErr w:type="gramEnd"/>
            <w:r w:rsidRPr="00A87896">
              <w:rPr>
                <w:rFonts w:ascii="Arial" w:hAnsi="Arial" w:cs="Arial"/>
                <w:b/>
                <w:bCs/>
              </w:rPr>
              <w:t>·mol</w:t>
            </w:r>
            <w:r w:rsidRPr="00A87896">
              <w:rPr>
                <w:rFonts w:ascii="Arial" w:hAnsi="Arial" w:cs="Arial"/>
                <w:b/>
                <w:bCs/>
                <w:vertAlign w:val="superscript"/>
              </w:rPr>
              <w:t>-1</w:t>
            </w:r>
            <w:r w:rsidRPr="00A8789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04" w:type="dxa"/>
            <w:vAlign w:val="center"/>
          </w:tcPr>
          <w:p w14:paraId="5D9EBA24" w14:textId="34B83F03" w:rsidR="00A87896" w:rsidRPr="00A87896" w:rsidRDefault="008B14C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t</w:t>
            </w:r>
            <w:r w:rsidR="00A87896" w:rsidRPr="00A87896">
              <w:rPr>
                <w:rFonts w:ascii="Arial" w:hAnsi="Arial" w:cs="Arial"/>
                <w:b/>
                <w:bCs/>
              </w:rPr>
              <w:t>empérature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7896" w:rsidRPr="00A87896">
              <w:rPr>
                <w:rFonts w:ascii="Arial" w:hAnsi="Arial" w:cs="Arial"/>
                <w:b/>
                <w:bCs/>
              </w:rPr>
              <w:t>d’ébullition</w:t>
            </w:r>
          </w:p>
          <w:p w14:paraId="653BA379" w14:textId="2D57D50A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896">
              <w:rPr>
                <w:rFonts w:ascii="Arial" w:hAnsi="Arial" w:cs="Arial"/>
                <w:b/>
                <w:bCs/>
              </w:rPr>
              <w:t>(°C)</w:t>
            </w:r>
          </w:p>
        </w:tc>
        <w:tc>
          <w:tcPr>
            <w:tcW w:w="1604" w:type="dxa"/>
            <w:vAlign w:val="center"/>
          </w:tcPr>
          <w:p w14:paraId="52F67189" w14:textId="51A52FB9" w:rsidR="00A87896" w:rsidRPr="00A87896" w:rsidRDefault="008B14C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m</w:t>
            </w:r>
            <w:r w:rsidR="00A87896" w:rsidRPr="00A87896">
              <w:rPr>
                <w:rFonts w:ascii="Arial" w:hAnsi="Arial" w:cs="Arial"/>
                <w:b/>
                <w:bCs/>
              </w:rPr>
              <w:t>asse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7896" w:rsidRPr="00A87896">
              <w:rPr>
                <w:rFonts w:ascii="Arial" w:hAnsi="Arial" w:cs="Arial"/>
                <w:b/>
                <w:bCs/>
              </w:rPr>
              <w:t>volumique</w:t>
            </w:r>
          </w:p>
          <w:p w14:paraId="4DA9F5DF" w14:textId="536E7E58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896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87896">
              <w:rPr>
                <w:rFonts w:ascii="Arial" w:hAnsi="Arial" w:cs="Arial"/>
                <w:b/>
                <w:bCs/>
              </w:rPr>
              <w:t>g</w:t>
            </w:r>
            <w:proofErr w:type="gramEnd"/>
            <w:r w:rsidRPr="00A87896">
              <w:rPr>
                <w:rFonts w:ascii="Arial" w:hAnsi="Arial" w:cs="Arial"/>
                <w:b/>
                <w:bCs/>
              </w:rPr>
              <w:t>·mL</w:t>
            </w:r>
            <w:r w:rsidRPr="00A87896">
              <w:rPr>
                <w:rFonts w:ascii="Arial" w:hAnsi="Arial" w:cs="Arial"/>
                <w:b/>
                <w:bCs/>
                <w:vertAlign w:val="superscript"/>
              </w:rPr>
              <w:t>-1</w:t>
            </w:r>
            <w:r w:rsidRPr="00A8789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084" w:type="dxa"/>
            <w:vAlign w:val="center"/>
          </w:tcPr>
          <w:p w14:paraId="43C9ACB9" w14:textId="06D681FB" w:rsidR="005E20BA" w:rsidRPr="00A87896" w:rsidRDefault="00A87896" w:rsidP="00A8789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87896">
              <w:rPr>
                <w:rFonts w:ascii="Arial" w:hAnsi="Arial" w:cs="Arial"/>
                <w:b/>
                <w:bCs/>
              </w:rPr>
              <w:t>risques</w:t>
            </w:r>
            <w:proofErr w:type="gramEnd"/>
          </w:p>
        </w:tc>
      </w:tr>
      <w:tr w:rsidR="005E20BA" w:rsidRPr="00070044" w14:paraId="576FF721" w14:textId="77777777" w:rsidTr="00A87896">
        <w:tc>
          <w:tcPr>
            <w:tcW w:w="1698" w:type="dxa"/>
            <w:vAlign w:val="center"/>
          </w:tcPr>
          <w:p w14:paraId="2D1A38FA" w14:textId="77777777" w:rsidR="00A87896" w:rsidRPr="00A87896" w:rsidRDefault="00A87896" w:rsidP="00A87896">
            <w:pPr>
              <w:jc w:val="center"/>
              <w:rPr>
                <w:rFonts w:ascii="Arial" w:hAnsi="Arial" w:cs="Arial"/>
              </w:rPr>
            </w:pPr>
            <w:proofErr w:type="gramStart"/>
            <w:r w:rsidRPr="00A87896">
              <w:rPr>
                <w:rFonts w:ascii="Arial" w:hAnsi="Arial" w:cs="Arial"/>
              </w:rPr>
              <w:t>acide</w:t>
            </w:r>
            <w:proofErr w:type="gramEnd"/>
          </w:p>
          <w:p w14:paraId="336BF2A2" w14:textId="62089314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proofErr w:type="gramStart"/>
            <w:r w:rsidRPr="00A87896">
              <w:rPr>
                <w:rFonts w:ascii="Arial" w:hAnsi="Arial" w:cs="Arial"/>
              </w:rPr>
              <w:t>téréphtalique</w:t>
            </w:r>
            <w:proofErr w:type="gramEnd"/>
          </w:p>
        </w:tc>
        <w:tc>
          <w:tcPr>
            <w:tcW w:w="1604" w:type="dxa"/>
            <w:vAlign w:val="center"/>
          </w:tcPr>
          <w:p w14:paraId="70D806AF" w14:textId="6D9E8A27" w:rsidR="00A87896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 g</w:t>
            </w:r>
          </w:p>
        </w:tc>
        <w:tc>
          <w:tcPr>
            <w:tcW w:w="1604" w:type="dxa"/>
            <w:vAlign w:val="center"/>
          </w:tcPr>
          <w:p w14:paraId="75BC7819" w14:textId="7340B662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166,14</w:t>
            </w:r>
          </w:p>
        </w:tc>
        <w:tc>
          <w:tcPr>
            <w:tcW w:w="1604" w:type="dxa"/>
            <w:vAlign w:val="center"/>
          </w:tcPr>
          <w:p w14:paraId="3250C5D2" w14:textId="14A1B8D4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04" w:type="dxa"/>
            <w:vAlign w:val="center"/>
          </w:tcPr>
          <w:p w14:paraId="183B6FCF" w14:textId="465BF6D6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1,51</w:t>
            </w:r>
          </w:p>
        </w:tc>
        <w:tc>
          <w:tcPr>
            <w:tcW w:w="2084" w:type="dxa"/>
            <w:vAlign w:val="center"/>
          </w:tcPr>
          <w:p w14:paraId="2A85508D" w14:textId="1C94912E" w:rsidR="005E20BA" w:rsidRPr="00070044" w:rsidRDefault="00A87896" w:rsidP="008B14C6">
            <w:pPr>
              <w:rPr>
                <w:rFonts w:ascii="Arial" w:hAnsi="Arial" w:cs="Arial"/>
              </w:rPr>
            </w:pPr>
            <w:r w:rsidRPr="00A87896">
              <w:rPr>
                <w:rFonts w:ascii="Arial" w:hAnsi="Arial" w:cs="Arial"/>
              </w:rPr>
              <w:t>Nocif pour la peau et</w:t>
            </w:r>
            <w:r>
              <w:rPr>
                <w:rFonts w:ascii="Arial" w:hAnsi="Arial" w:cs="Arial"/>
              </w:rPr>
              <w:t xml:space="preserve"> </w:t>
            </w:r>
            <w:r w:rsidRPr="00A87896">
              <w:rPr>
                <w:rFonts w:ascii="Arial" w:hAnsi="Arial" w:cs="Arial"/>
              </w:rPr>
              <w:t>les yeux</w:t>
            </w:r>
          </w:p>
        </w:tc>
      </w:tr>
      <w:tr w:rsidR="005E20BA" w:rsidRPr="00070044" w14:paraId="04E69D0E" w14:textId="77777777" w:rsidTr="00A87896">
        <w:tc>
          <w:tcPr>
            <w:tcW w:w="1698" w:type="dxa"/>
            <w:vAlign w:val="center"/>
          </w:tcPr>
          <w:p w14:paraId="71F29545" w14:textId="77777777" w:rsidR="00A87896" w:rsidRPr="00A87896" w:rsidRDefault="00A87896" w:rsidP="00A87896">
            <w:pPr>
              <w:jc w:val="center"/>
              <w:rPr>
                <w:rFonts w:ascii="Arial" w:hAnsi="Arial" w:cs="Arial"/>
              </w:rPr>
            </w:pPr>
            <w:proofErr w:type="gramStart"/>
            <w:r w:rsidRPr="00A87896">
              <w:rPr>
                <w:rFonts w:ascii="Arial" w:hAnsi="Arial" w:cs="Arial"/>
              </w:rPr>
              <w:t>éthylène</w:t>
            </w:r>
            <w:proofErr w:type="gramEnd"/>
          </w:p>
          <w:p w14:paraId="157F2BA3" w14:textId="02555A4D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proofErr w:type="gramStart"/>
            <w:r w:rsidRPr="00A87896">
              <w:rPr>
                <w:rFonts w:ascii="Arial" w:hAnsi="Arial" w:cs="Arial"/>
              </w:rPr>
              <w:t>glycol</w:t>
            </w:r>
            <w:proofErr w:type="gramEnd"/>
          </w:p>
        </w:tc>
        <w:tc>
          <w:tcPr>
            <w:tcW w:w="1604" w:type="dxa"/>
            <w:vAlign w:val="center"/>
          </w:tcPr>
          <w:p w14:paraId="7D6898E2" w14:textId="69DBF9DA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mL</w:t>
            </w:r>
          </w:p>
        </w:tc>
        <w:tc>
          <w:tcPr>
            <w:tcW w:w="1604" w:type="dxa"/>
            <w:vAlign w:val="center"/>
          </w:tcPr>
          <w:p w14:paraId="0A3BDBB8" w14:textId="716BAAD3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62,07</w:t>
            </w:r>
          </w:p>
        </w:tc>
        <w:tc>
          <w:tcPr>
            <w:tcW w:w="1604" w:type="dxa"/>
            <w:vAlign w:val="center"/>
          </w:tcPr>
          <w:p w14:paraId="2B05683E" w14:textId="290B152E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604" w:type="dxa"/>
            <w:vAlign w:val="center"/>
          </w:tcPr>
          <w:p w14:paraId="336835D1" w14:textId="7AD265D2" w:rsidR="005E20BA" w:rsidRPr="00070044" w:rsidRDefault="00A87896" w:rsidP="00A878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084" w:type="dxa"/>
            <w:vAlign w:val="center"/>
          </w:tcPr>
          <w:p w14:paraId="2FB12571" w14:textId="77777777" w:rsidR="00A87896" w:rsidRPr="00A87896" w:rsidRDefault="00A87896" w:rsidP="008B14C6">
            <w:pPr>
              <w:rPr>
                <w:rFonts w:ascii="Arial" w:hAnsi="Arial" w:cs="Arial"/>
              </w:rPr>
            </w:pPr>
            <w:r w:rsidRPr="00A87896">
              <w:rPr>
                <w:rFonts w:ascii="Arial" w:hAnsi="Arial" w:cs="Arial"/>
              </w:rPr>
              <w:t>Nocif</w:t>
            </w:r>
          </w:p>
          <w:p w14:paraId="39F63F6F" w14:textId="77777777" w:rsidR="00A87896" w:rsidRPr="00A87896" w:rsidRDefault="00A87896" w:rsidP="008B14C6">
            <w:pPr>
              <w:rPr>
                <w:rFonts w:ascii="Arial" w:hAnsi="Arial" w:cs="Arial"/>
              </w:rPr>
            </w:pPr>
            <w:r w:rsidRPr="00A87896">
              <w:rPr>
                <w:rFonts w:ascii="Arial" w:hAnsi="Arial" w:cs="Arial"/>
              </w:rPr>
              <w:t>Irritant yeux/voies</w:t>
            </w:r>
          </w:p>
          <w:p w14:paraId="36EC67EE" w14:textId="77777777" w:rsidR="00A87896" w:rsidRPr="00A87896" w:rsidRDefault="00A87896" w:rsidP="008B14C6">
            <w:pPr>
              <w:rPr>
                <w:rFonts w:ascii="Arial" w:hAnsi="Arial" w:cs="Arial"/>
              </w:rPr>
            </w:pPr>
            <w:proofErr w:type="gramStart"/>
            <w:r w:rsidRPr="00A87896">
              <w:rPr>
                <w:rFonts w:ascii="Arial" w:hAnsi="Arial" w:cs="Arial"/>
              </w:rPr>
              <w:t>respiratoires</w:t>
            </w:r>
            <w:proofErr w:type="gramEnd"/>
          </w:p>
          <w:p w14:paraId="265BF0CD" w14:textId="77777777" w:rsidR="00A87896" w:rsidRPr="00A87896" w:rsidRDefault="00A87896" w:rsidP="008B14C6">
            <w:pPr>
              <w:rPr>
                <w:rFonts w:ascii="Arial" w:hAnsi="Arial" w:cs="Arial"/>
              </w:rPr>
            </w:pPr>
            <w:r w:rsidRPr="00A87896">
              <w:rPr>
                <w:rFonts w:ascii="Arial" w:hAnsi="Arial" w:cs="Arial"/>
              </w:rPr>
              <w:t>Inflammable</w:t>
            </w:r>
          </w:p>
          <w:p w14:paraId="30BE0585" w14:textId="3031AC0F" w:rsidR="005E20BA" w:rsidRPr="00070044" w:rsidRDefault="00A87896" w:rsidP="008B14C6">
            <w:pPr>
              <w:rPr>
                <w:rFonts w:ascii="Arial" w:hAnsi="Arial" w:cs="Arial"/>
              </w:rPr>
            </w:pPr>
            <w:r w:rsidRPr="00A87896">
              <w:rPr>
                <w:rFonts w:ascii="Arial" w:hAnsi="Arial" w:cs="Arial"/>
              </w:rPr>
              <w:t>Explosif</w:t>
            </w:r>
          </w:p>
        </w:tc>
      </w:tr>
    </w:tbl>
    <w:p w14:paraId="47211D69" w14:textId="71577AA3" w:rsidR="00A87896" w:rsidRPr="00A87896" w:rsidRDefault="00A87896" w:rsidP="00A87896">
      <w:pPr>
        <w:spacing w:after="0" w:line="240" w:lineRule="auto"/>
        <w:jc w:val="both"/>
        <w:rPr>
          <w:rFonts w:ascii="Arial" w:hAnsi="Arial" w:cs="Arial"/>
        </w:rPr>
      </w:pPr>
    </w:p>
    <w:p w14:paraId="39742B23" w14:textId="77777777" w:rsidR="00A87896" w:rsidRPr="00070044" w:rsidRDefault="00A87896" w:rsidP="00A87896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 produit A de la transformation est éliminé en continu.</w:t>
      </w:r>
    </w:p>
    <w:p w14:paraId="38A79E01" w14:textId="77777777" w:rsidR="00A87896" w:rsidRPr="008B14C6" w:rsidRDefault="00A87896" w:rsidP="00A87896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8B14C6">
        <w:rPr>
          <w:rFonts w:ascii="Arial" w:hAnsi="Arial" w:cs="Arial"/>
          <w:i/>
          <w:iCs/>
          <w:sz w:val="24"/>
          <w:szCs w:val="24"/>
        </w:rPr>
        <w:t xml:space="preserve">D’après le site </w:t>
      </w:r>
      <w:proofErr w:type="spellStart"/>
      <w:r w:rsidRPr="008B14C6">
        <w:rPr>
          <w:rFonts w:ascii="Arial" w:hAnsi="Arial" w:cs="Arial"/>
          <w:i/>
          <w:iCs/>
          <w:sz w:val="24"/>
          <w:szCs w:val="24"/>
        </w:rPr>
        <w:t>Ramènetessciences</w:t>
      </w:r>
      <w:proofErr w:type="spellEnd"/>
      <w:r w:rsidRPr="008B14C6">
        <w:rPr>
          <w:rFonts w:ascii="Arial" w:hAnsi="Arial" w:cs="Arial"/>
          <w:i/>
          <w:iCs/>
          <w:sz w:val="24"/>
          <w:szCs w:val="24"/>
        </w:rPr>
        <w:t>.</w:t>
      </w:r>
    </w:p>
    <w:p w14:paraId="43B6EE67" w14:textId="77777777" w:rsidR="00D35755" w:rsidRPr="00070044" w:rsidRDefault="00D35755" w:rsidP="00D35755">
      <w:pPr>
        <w:spacing w:after="0" w:line="240" w:lineRule="auto"/>
        <w:jc w:val="both"/>
        <w:rPr>
          <w:rFonts w:ascii="Arial" w:hAnsi="Arial" w:cs="Arial"/>
        </w:rPr>
      </w:pPr>
    </w:p>
    <w:p w14:paraId="7E1CEF16" w14:textId="5BE4C04E" w:rsidR="005E20BA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Q.1.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Indiquer les précautions à prendre pour la manipulation des réactifs.</w:t>
      </w:r>
    </w:p>
    <w:p w14:paraId="71B256D6" w14:textId="77777777" w:rsidR="00D35755" w:rsidRPr="00070044" w:rsidRDefault="00D35755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370D25CA" w14:textId="61BA3C29" w:rsidR="005E20BA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Q.2.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Identifier la molécule A formée lors de l’étape 1. Préciser sa formule chimique et son nom.</w:t>
      </w:r>
    </w:p>
    <w:p w14:paraId="40A2EACE" w14:textId="77777777" w:rsidR="00D35755" w:rsidRPr="00070044" w:rsidRDefault="00D35755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0E6F8789" w14:textId="4516A89E" w:rsidR="005E20BA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Q.3.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Expliquer l’intérêt d’éliminer la molécule A au cours de l’étape 1.</w:t>
      </w:r>
    </w:p>
    <w:p w14:paraId="114F8FB1" w14:textId="77777777" w:rsidR="00D35755" w:rsidRPr="00070044" w:rsidRDefault="00D35755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67AF3B61" w14:textId="210AB28E" w:rsidR="005E20BA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Q.4.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Nommer les étapes 1, 2 et 3 du protocole expérimental.</w:t>
      </w:r>
    </w:p>
    <w:p w14:paraId="3270B5D9" w14:textId="07881999" w:rsidR="00A87896" w:rsidRDefault="00D35755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A9A6249" wp14:editId="1786C9B0">
            <wp:simplePos x="0" y="0"/>
            <wp:positionH relativeFrom="column">
              <wp:posOffset>2361565</wp:posOffset>
            </wp:positionH>
            <wp:positionV relativeFrom="paragraph">
              <wp:posOffset>147320</wp:posOffset>
            </wp:positionV>
            <wp:extent cx="3359150" cy="10795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51DF6" w14:textId="797E90DB" w:rsidR="00D35755" w:rsidRDefault="00D35755" w:rsidP="00070044">
      <w:pPr>
        <w:spacing w:after="0" w:line="240" w:lineRule="auto"/>
        <w:jc w:val="both"/>
        <w:rPr>
          <w:rFonts w:ascii="Arial" w:hAnsi="Arial" w:cs="Arial"/>
        </w:rPr>
      </w:pPr>
    </w:p>
    <w:p w14:paraId="10AA6571" w14:textId="77777777" w:rsidR="00D35755" w:rsidRPr="00070044" w:rsidRDefault="00D35755" w:rsidP="00070044">
      <w:pPr>
        <w:spacing w:after="0" w:line="240" w:lineRule="auto"/>
        <w:jc w:val="both"/>
        <w:rPr>
          <w:rFonts w:ascii="Arial" w:hAnsi="Arial" w:cs="Arial"/>
        </w:rPr>
      </w:pPr>
    </w:p>
    <w:p w14:paraId="4885E350" w14:textId="31401619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La formule chimique du PET est</w:t>
      </w:r>
      <w:r w:rsidR="00070044" w:rsidRPr="00070044">
        <w:rPr>
          <w:rFonts w:ascii="Arial" w:hAnsi="Arial" w:cs="Arial"/>
        </w:rPr>
        <w:t> :</w:t>
      </w:r>
      <w:r w:rsidR="00D35755">
        <w:rPr>
          <w:rFonts w:ascii="Arial" w:hAnsi="Arial" w:cs="Arial"/>
        </w:rPr>
        <w:t xml:space="preserve">     </w:t>
      </w:r>
    </w:p>
    <w:p w14:paraId="41161CF8" w14:textId="5C944C79" w:rsidR="00070044" w:rsidRDefault="00070044" w:rsidP="00D35755">
      <w:pPr>
        <w:spacing w:after="0" w:line="240" w:lineRule="auto"/>
        <w:jc w:val="center"/>
        <w:rPr>
          <w:rFonts w:ascii="Arial" w:hAnsi="Arial" w:cs="Arial"/>
        </w:rPr>
      </w:pPr>
    </w:p>
    <w:p w14:paraId="1789EB0B" w14:textId="7402668E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1B2552DE" w14:textId="01E8DD1A" w:rsidR="00D35755" w:rsidRDefault="00D35755" w:rsidP="00070044">
      <w:pPr>
        <w:spacing w:after="0" w:line="240" w:lineRule="auto"/>
        <w:jc w:val="both"/>
        <w:rPr>
          <w:rFonts w:ascii="Arial" w:hAnsi="Arial" w:cs="Arial"/>
        </w:rPr>
      </w:pPr>
    </w:p>
    <w:p w14:paraId="5D76E8BD" w14:textId="28F42873" w:rsidR="00D35755" w:rsidRDefault="00D35755" w:rsidP="00070044">
      <w:pPr>
        <w:spacing w:after="0" w:line="240" w:lineRule="auto"/>
        <w:jc w:val="both"/>
        <w:rPr>
          <w:rFonts w:ascii="Arial" w:hAnsi="Arial" w:cs="Arial"/>
        </w:rPr>
      </w:pPr>
    </w:p>
    <w:p w14:paraId="39C09081" w14:textId="77777777" w:rsidR="00D35755" w:rsidRPr="00070044" w:rsidRDefault="00D35755" w:rsidP="00070044">
      <w:pPr>
        <w:spacing w:after="0" w:line="240" w:lineRule="auto"/>
        <w:jc w:val="both"/>
        <w:rPr>
          <w:rFonts w:ascii="Arial" w:hAnsi="Arial" w:cs="Arial"/>
        </w:rPr>
      </w:pPr>
    </w:p>
    <w:p w14:paraId="536E3D31" w14:textId="0EA88F24" w:rsidR="005E20BA" w:rsidRPr="00070044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Q.5.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Expliquer pourquoi le PET appartient à la famille des polyesters.</w:t>
      </w:r>
    </w:p>
    <w:p w14:paraId="2CD8BB1F" w14:textId="77777777" w:rsidR="00A87896" w:rsidRDefault="00A87896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472E656E" w14:textId="10411BEB" w:rsidR="005E20BA" w:rsidRPr="00070044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Q.6.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Identifier le motif du PET.</w:t>
      </w:r>
    </w:p>
    <w:p w14:paraId="45C7B565" w14:textId="129BDEE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00C30077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59F604A0" w14:textId="7D325AF0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 xml:space="preserve">L’analyse du PET synthétisé permet d’évaluer sa masse molaire moyenne à 3 600 </w:t>
      </w:r>
      <w:r w:rsidR="00D35755" w:rsidRPr="00070044">
        <w:rPr>
          <w:rFonts w:ascii="Arial" w:hAnsi="Arial" w:cs="Arial"/>
        </w:rPr>
        <w:t>g·mol</w:t>
      </w:r>
      <w:r w:rsidR="00D35755" w:rsidRPr="00070044">
        <w:rPr>
          <w:rFonts w:ascii="Arial" w:hAnsi="Arial" w:cs="Arial"/>
          <w:vertAlign w:val="superscript"/>
        </w:rPr>
        <w:t>-1</w:t>
      </w:r>
      <w:r w:rsidRPr="00070044">
        <w:rPr>
          <w:rFonts w:ascii="Arial" w:hAnsi="Arial" w:cs="Arial"/>
        </w:rPr>
        <w:t>.</w:t>
      </w:r>
    </w:p>
    <w:p w14:paraId="6058A521" w14:textId="43C3D04F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4A1B4110" w14:textId="77777777" w:rsidR="00A87896" w:rsidRPr="00070044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30FE3E01" w14:textId="4924A84B" w:rsidR="005E20BA" w:rsidRPr="00070044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Q.7.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 xml:space="preserve">Sachant que la masse molaire du motif </w:t>
      </w:r>
      <w:proofErr w:type="spellStart"/>
      <w:r w:rsidRPr="008B14C6">
        <w:rPr>
          <w:rFonts w:ascii="Arial" w:hAnsi="Arial" w:cs="Arial"/>
          <w:i/>
          <w:iCs/>
        </w:rPr>
        <w:t>M</w:t>
      </w:r>
      <w:r w:rsidRPr="008B14C6">
        <w:rPr>
          <w:rFonts w:ascii="Arial" w:hAnsi="Arial" w:cs="Arial"/>
          <w:vertAlign w:val="subscript"/>
        </w:rPr>
        <w:t>motif</w:t>
      </w:r>
      <w:proofErr w:type="spellEnd"/>
      <w:r w:rsidRPr="00070044">
        <w:rPr>
          <w:rFonts w:ascii="Arial" w:hAnsi="Arial" w:cs="Arial"/>
        </w:rPr>
        <w:t xml:space="preserve"> du polymère est de 192 </w:t>
      </w:r>
      <w:r w:rsidR="00D35755" w:rsidRPr="00070044">
        <w:rPr>
          <w:rFonts w:ascii="Arial" w:hAnsi="Arial" w:cs="Arial"/>
        </w:rPr>
        <w:t>g·mol</w:t>
      </w:r>
      <w:r w:rsidR="00D35755" w:rsidRPr="00070044">
        <w:rPr>
          <w:rFonts w:ascii="Arial" w:hAnsi="Arial" w:cs="Arial"/>
          <w:vertAlign w:val="superscript"/>
        </w:rPr>
        <w:t>-1</w:t>
      </w:r>
      <w:r w:rsidRPr="00070044">
        <w:rPr>
          <w:rFonts w:ascii="Arial" w:hAnsi="Arial" w:cs="Arial"/>
        </w:rPr>
        <w:t>, estimer la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 xml:space="preserve">valeur de </w:t>
      </w:r>
      <w:r w:rsidRPr="008B14C6">
        <w:rPr>
          <w:rFonts w:ascii="Arial" w:hAnsi="Arial" w:cs="Arial"/>
          <w:i/>
          <w:iCs/>
        </w:rPr>
        <w:t>n</w:t>
      </w:r>
      <w:r w:rsidRPr="00070044">
        <w:rPr>
          <w:rFonts w:ascii="Arial" w:hAnsi="Arial" w:cs="Arial"/>
        </w:rPr>
        <w:t>.</w:t>
      </w:r>
    </w:p>
    <w:p w14:paraId="18C1443A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7DF5D362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249D6FBA" w14:textId="49633505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Une bouteille en plastique est constituée, en moyenne, de 32 g de PET.</w:t>
      </w:r>
    </w:p>
    <w:p w14:paraId="60F52376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355A38F4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4BDF3881" w14:textId="375E3D16" w:rsidR="005E20BA" w:rsidRPr="00070044" w:rsidRDefault="005E20BA" w:rsidP="00A8789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35755">
        <w:rPr>
          <w:rFonts w:ascii="Arial" w:hAnsi="Arial" w:cs="Arial"/>
          <w:b/>
          <w:bCs/>
        </w:rPr>
        <w:t>Q.8.</w:t>
      </w:r>
      <w:r w:rsidR="00A87896">
        <w:rPr>
          <w:rFonts w:ascii="Arial" w:hAnsi="Arial" w:cs="Arial"/>
        </w:rPr>
        <w:tab/>
      </w:r>
      <w:r w:rsidRPr="00070044">
        <w:rPr>
          <w:rFonts w:ascii="Arial" w:hAnsi="Arial" w:cs="Arial"/>
        </w:rPr>
        <w:t>Déterminer, en justifiant, si la synthèse réalisée permet de fabriquer une bouteille en</w:t>
      </w:r>
      <w:r w:rsidR="00A87896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plastique.</w:t>
      </w:r>
    </w:p>
    <w:p w14:paraId="20FF572A" w14:textId="77777777" w:rsidR="00A87896" w:rsidRDefault="00A87896" w:rsidP="00070044">
      <w:pPr>
        <w:spacing w:after="0" w:line="240" w:lineRule="auto"/>
        <w:jc w:val="both"/>
        <w:rPr>
          <w:rFonts w:ascii="Arial" w:hAnsi="Arial" w:cs="Arial"/>
        </w:rPr>
      </w:pPr>
    </w:p>
    <w:p w14:paraId="09A654E3" w14:textId="605929C3" w:rsidR="005E20BA" w:rsidRPr="00D35755" w:rsidRDefault="005E20BA" w:rsidP="00D35755">
      <w:pPr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D35755">
        <w:rPr>
          <w:rFonts w:ascii="Arial" w:hAnsi="Arial" w:cs="Arial"/>
          <w:i/>
          <w:iCs/>
        </w:rPr>
        <w:t>Le candidat est invité à prendre des initiatives et à présenter la démarche suivie, même si</w:t>
      </w:r>
      <w:r w:rsidR="00D35755" w:rsidRPr="00D35755">
        <w:rPr>
          <w:rFonts w:ascii="Arial" w:hAnsi="Arial" w:cs="Arial"/>
          <w:i/>
          <w:iCs/>
        </w:rPr>
        <w:t xml:space="preserve"> </w:t>
      </w:r>
      <w:r w:rsidRPr="00D35755">
        <w:rPr>
          <w:rFonts w:ascii="Arial" w:hAnsi="Arial" w:cs="Arial"/>
          <w:i/>
          <w:iCs/>
        </w:rPr>
        <w:t>elle n’a pas abouti. La démarche est évaluée et nécessite d’être correctement présentée.</w:t>
      </w:r>
    </w:p>
    <w:p w14:paraId="77598DED" w14:textId="41A6A852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</w:p>
    <w:p w14:paraId="319428EF" w14:textId="0540FB38" w:rsidR="005E20BA" w:rsidRPr="00070044" w:rsidRDefault="005E20BA" w:rsidP="00070044">
      <w:pPr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br w:type="page"/>
      </w:r>
    </w:p>
    <w:p w14:paraId="62163C7E" w14:textId="77777777" w:rsidR="005E20BA" w:rsidRPr="008B14C6" w:rsidRDefault="005E20BA" w:rsidP="00070044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B14C6">
        <w:rPr>
          <w:rFonts w:ascii="Arial" w:hAnsi="Arial" w:cs="Arial"/>
          <w:b/>
          <w:bCs/>
        </w:rPr>
        <w:lastRenderedPageBreak/>
        <w:t xml:space="preserve">B. </w:t>
      </w:r>
      <w:r w:rsidRPr="008B14C6">
        <w:rPr>
          <w:rFonts w:ascii="Arial" w:hAnsi="Arial" w:cs="Arial"/>
          <w:b/>
          <w:bCs/>
          <w:u w:val="single"/>
        </w:rPr>
        <w:t>Synthèse microbienne de la vanilline à partir de déchets de PET</w:t>
      </w:r>
    </w:p>
    <w:p w14:paraId="0FD6B717" w14:textId="1558BFC1" w:rsidR="005E20BA" w:rsidRPr="00070044" w:rsidRDefault="005E20BA" w:rsidP="001C00BF">
      <w:pPr>
        <w:spacing w:before="120"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Une équipe de chercheur de l’Université d’</w:t>
      </w:r>
      <w:r w:rsidR="001C00BF" w:rsidRPr="00070044">
        <w:rPr>
          <w:rFonts w:ascii="Arial" w:hAnsi="Arial" w:cs="Arial"/>
        </w:rPr>
        <w:t>Édimbourg</w:t>
      </w:r>
      <w:r w:rsidRPr="00070044">
        <w:rPr>
          <w:rFonts w:ascii="Arial" w:hAnsi="Arial" w:cs="Arial"/>
        </w:rPr>
        <w:t xml:space="preserve"> a publié un article dans la revue «</w:t>
      </w:r>
      <w:r w:rsidR="001C00BF">
        <w:rPr>
          <w:rFonts w:ascii="Arial" w:hAnsi="Arial" w:cs="Arial"/>
        </w:rPr>
        <w:t> </w:t>
      </w:r>
      <w:r w:rsidRPr="001C00BF">
        <w:rPr>
          <w:rFonts w:ascii="Arial" w:hAnsi="Arial" w:cs="Arial"/>
          <w:i/>
          <w:iCs/>
        </w:rPr>
        <w:t>Green</w:t>
      </w:r>
      <w:r w:rsidR="001C00BF" w:rsidRPr="001C00BF">
        <w:rPr>
          <w:rFonts w:ascii="Arial" w:hAnsi="Arial" w:cs="Arial"/>
          <w:i/>
          <w:iCs/>
        </w:rPr>
        <w:t xml:space="preserve"> </w:t>
      </w:r>
      <w:r w:rsidRPr="001C00BF">
        <w:rPr>
          <w:rFonts w:ascii="Arial" w:hAnsi="Arial" w:cs="Arial"/>
          <w:i/>
          <w:iCs/>
        </w:rPr>
        <w:t>Chemistry</w:t>
      </w:r>
      <w:r w:rsidRPr="00070044">
        <w:rPr>
          <w:rFonts w:ascii="Arial" w:hAnsi="Arial" w:cs="Arial"/>
        </w:rPr>
        <w:t>, 2021, 23, 4665</w:t>
      </w:r>
      <w:r w:rsidR="001C00BF">
        <w:rPr>
          <w:rFonts w:ascii="Arial" w:hAnsi="Arial" w:cs="Arial"/>
        </w:rPr>
        <w:t> </w:t>
      </w:r>
      <w:r w:rsidRPr="00070044">
        <w:rPr>
          <w:rFonts w:ascii="Arial" w:hAnsi="Arial" w:cs="Arial"/>
        </w:rPr>
        <w:t>» dans lequel elle explique comment elle a développé un premier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recyclage biologique de déchets plastiques de PET en vanilline à l’aide d’un micro-organisme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modifié.</w:t>
      </w:r>
    </w:p>
    <w:p w14:paraId="0B52097C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496BF92D" w14:textId="7FB36316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 polymère est dans un premier temps hydrolysé en deux monomères, l’acide téréphtalique et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l’éthylène glycol. L’acide téréphtalique est un diacide que l’on peut noter AH</w:t>
      </w:r>
      <w:r w:rsidRPr="001C00BF">
        <w:rPr>
          <w:rFonts w:ascii="Arial" w:hAnsi="Arial" w:cs="Arial"/>
          <w:vertAlign w:val="subscript"/>
        </w:rPr>
        <w:t>2</w:t>
      </w:r>
      <w:r w:rsidRPr="00070044">
        <w:rPr>
          <w:rFonts w:ascii="Arial" w:hAnsi="Arial" w:cs="Arial"/>
        </w:rPr>
        <w:t xml:space="preserve"> dont les deux </w:t>
      </w:r>
      <w:r w:rsidRPr="001C00BF">
        <w:rPr>
          <w:rFonts w:ascii="Arial" w:hAnsi="Arial" w:cs="Arial"/>
          <w:i/>
          <w:iCs/>
        </w:rPr>
        <w:t>pK</w:t>
      </w:r>
      <w:r w:rsidRPr="001C00BF">
        <w:rPr>
          <w:rFonts w:ascii="Arial" w:hAnsi="Arial" w:cs="Arial"/>
          <w:i/>
          <w:iCs/>
          <w:vertAlign w:val="subscript"/>
        </w:rPr>
        <w:t>A</w:t>
      </w:r>
      <w:r w:rsidRPr="00070044">
        <w:rPr>
          <w:rFonts w:ascii="Arial" w:hAnsi="Arial" w:cs="Arial"/>
        </w:rPr>
        <w:t xml:space="preserve"> sont</w:t>
      </w:r>
      <w:r w:rsidR="001C00BF">
        <w:rPr>
          <w:rFonts w:ascii="Arial" w:hAnsi="Arial" w:cs="Arial"/>
        </w:rPr>
        <w:t xml:space="preserve"> </w:t>
      </w:r>
      <w:r w:rsidRPr="001C00BF">
        <w:rPr>
          <w:rFonts w:ascii="Arial" w:hAnsi="Arial" w:cs="Arial"/>
          <w:i/>
          <w:iCs/>
        </w:rPr>
        <w:t>pK</w:t>
      </w:r>
      <w:r w:rsidRPr="001C00BF">
        <w:rPr>
          <w:rFonts w:ascii="Arial" w:hAnsi="Arial" w:cs="Arial"/>
          <w:i/>
          <w:iCs/>
          <w:vertAlign w:val="subscript"/>
        </w:rPr>
        <w:t>A1</w:t>
      </w:r>
      <w:r w:rsidRPr="00070044">
        <w:rPr>
          <w:rFonts w:ascii="Arial" w:hAnsi="Arial" w:cs="Arial"/>
        </w:rPr>
        <w:t xml:space="preserve"> = 3,5 et </w:t>
      </w:r>
      <w:r w:rsidRPr="001C00BF">
        <w:rPr>
          <w:rFonts w:ascii="Arial" w:hAnsi="Arial" w:cs="Arial"/>
          <w:i/>
          <w:iCs/>
        </w:rPr>
        <w:t>pK</w:t>
      </w:r>
      <w:r w:rsidRPr="001C00BF">
        <w:rPr>
          <w:rFonts w:ascii="Arial" w:hAnsi="Arial" w:cs="Arial"/>
          <w:i/>
          <w:iCs/>
          <w:vertAlign w:val="subscript"/>
        </w:rPr>
        <w:t>A2</w:t>
      </w:r>
      <w:r w:rsidRPr="00070044">
        <w:rPr>
          <w:rFonts w:ascii="Arial" w:hAnsi="Arial" w:cs="Arial"/>
        </w:rPr>
        <w:t xml:space="preserve"> = 4,46.</w:t>
      </w:r>
    </w:p>
    <w:p w14:paraId="2421D6B3" w14:textId="43390A06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7E424F48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5E47487C" w14:textId="77777777" w:rsidR="001C00BF" w:rsidRPr="00070044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4E430F0F" w14:textId="0935615F" w:rsidR="005E20BA" w:rsidRDefault="005E20BA" w:rsidP="001C00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C00BF">
        <w:rPr>
          <w:rFonts w:ascii="Arial" w:hAnsi="Arial" w:cs="Arial"/>
          <w:b/>
          <w:bCs/>
        </w:rPr>
        <w:t>Q.9.</w:t>
      </w:r>
      <w:r w:rsidR="001C00BF">
        <w:rPr>
          <w:rFonts w:ascii="Arial" w:hAnsi="Arial" w:cs="Arial"/>
        </w:rPr>
        <w:tab/>
      </w:r>
      <w:r w:rsidRPr="00070044">
        <w:rPr>
          <w:rFonts w:ascii="Arial" w:hAnsi="Arial" w:cs="Arial"/>
        </w:rPr>
        <w:t>Donner la définition d’un acide selon Br</w:t>
      </w:r>
      <w:r w:rsidR="001C00BF">
        <w:rPr>
          <w:rFonts w:ascii="Arial" w:hAnsi="Arial" w:cs="Arial"/>
        </w:rPr>
        <w:t>ø</w:t>
      </w:r>
      <w:r w:rsidRPr="00070044">
        <w:rPr>
          <w:rFonts w:ascii="Arial" w:hAnsi="Arial" w:cs="Arial"/>
        </w:rPr>
        <w:t>nsted.</w:t>
      </w:r>
    </w:p>
    <w:p w14:paraId="00719898" w14:textId="50E88BD2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0448CB23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5A302118" w14:textId="77777777" w:rsidR="001C00BF" w:rsidRPr="00070044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7DA598DF" w14:textId="03727A04" w:rsidR="005E20BA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Les domaines de prédominance de l’acide téréphtalique sont donnés sur le diagramme suivant</w:t>
      </w:r>
      <w:r w:rsidR="00070044" w:rsidRPr="00070044">
        <w:rPr>
          <w:rFonts w:ascii="Arial" w:hAnsi="Arial" w:cs="Arial"/>
        </w:rPr>
        <w:t> :</w:t>
      </w:r>
    </w:p>
    <w:p w14:paraId="59BF909E" w14:textId="77777777" w:rsidR="001C00BF" w:rsidRPr="00070044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156F3001" w14:textId="6504931C" w:rsidR="00070044" w:rsidRPr="00070044" w:rsidRDefault="00070044" w:rsidP="001C00BF">
      <w:pPr>
        <w:spacing w:after="0" w:line="240" w:lineRule="auto"/>
        <w:jc w:val="center"/>
        <w:rPr>
          <w:rFonts w:ascii="Arial" w:hAnsi="Arial" w:cs="Arial"/>
        </w:rPr>
      </w:pPr>
      <w:r w:rsidRPr="00070044">
        <w:rPr>
          <w:rFonts w:ascii="Arial" w:hAnsi="Arial" w:cs="Arial"/>
          <w:noProof/>
        </w:rPr>
        <w:drawing>
          <wp:inline distT="0" distB="0" distL="0" distR="0" wp14:anchorId="2753E043" wp14:editId="556CC70B">
            <wp:extent cx="5334000" cy="74257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65" cy="7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0AA0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31762187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54E6AED4" w14:textId="6E775755" w:rsidR="005E20BA" w:rsidRDefault="005E20BA" w:rsidP="001C00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C00BF">
        <w:rPr>
          <w:rFonts w:ascii="Arial" w:hAnsi="Arial" w:cs="Arial"/>
          <w:b/>
          <w:bCs/>
        </w:rPr>
        <w:t>Q.10.</w:t>
      </w:r>
      <w:r w:rsidR="001C00BF">
        <w:rPr>
          <w:rFonts w:ascii="Arial" w:hAnsi="Arial" w:cs="Arial"/>
        </w:rPr>
        <w:tab/>
      </w:r>
      <w:r w:rsidRPr="00070044">
        <w:rPr>
          <w:rFonts w:ascii="Arial" w:hAnsi="Arial" w:cs="Arial"/>
        </w:rPr>
        <w:t>Indiquer les formules brutes des formes 1 et 3 présentes sur le diagramme précédent.</w:t>
      </w:r>
    </w:p>
    <w:p w14:paraId="05D58FFE" w14:textId="6D01A49D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731514B7" w14:textId="0AC8B016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5017FC5B" w14:textId="77777777" w:rsidR="001C00BF" w:rsidRPr="00070044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204BA429" w14:textId="0D19753C" w:rsidR="005E20BA" w:rsidRPr="00070044" w:rsidRDefault="005E20BA" w:rsidP="00070044">
      <w:pPr>
        <w:spacing w:after="0" w:line="240" w:lineRule="auto"/>
        <w:jc w:val="both"/>
        <w:rPr>
          <w:rFonts w:ascii="Arial" w:hAnsi="Arial" w:cs="Arial"/>
        </w:rPr>
      </w:pPr>
      <w:r w:rsidRPr="00070044">
        <w:rPr>
          <w:rFonts w:ascii="Arial" w:hAnsi="Arial" w:cs="Arial"/>
        </w:rPr>
        <w:t>Les chercheurs ont étudié comment maximiser le rendement en vanilline lors du recyclage du PET.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Ils ont observé que les micro-organismes permettant d’obtenir la vanilline ne peuvent pas jouer leur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rôle efficacement en présence d’une forme acide de l’acide téréphtalique. De plus, ils ont remarqué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expérimentalement qu’en milieu trop fortement basique la transformation est limitée. Ils ont établi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 xml:space="preserve">expérimentalement qu’une solution tampon à </w:t>
      </w:r>
      <w:r w:rsidRPr="001C00BF">
        <w:rPr>
          <w:rFonts w:ascii="Arial" w:hAnsi="Arial" w:cs="Arial"/>
          <w:i/>
          <w:iCs/>
        </w:rPr>
        <w:t>pH</w:t>
      </w:r>
      <w:r w:rsidRPr="00070044">
        <w:rPr>
          <w:rFonts w:ascii="Arial" w:hAnsi="Arial" w:cs="Arial"/>
        </w:rPr>
        <w:t xml:space="preserve"> = 5,5 permet d’arriver à leur fin.</w:t>
      </w:r>
    </w:p>
    <w:p w14:paraId="2C040588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264AE3FE" w14:textId="77777777" w:rsidR="001C00BF" w:rsidRDefault="001C00BF" w:rsidP="00070044">
      <w:pPr>
        <w:spacing w:after="0" w:line="240" w:lineRule="auto"/>
        <w:jc w:val="both"/>
        <w:rPr>
          <w:rFonts w:ascii="Arial" w:hAnsi="Arial" w:cs="Arial"/>
        </w:rPr>
      </w:pPr>
    </w:p>
    <w:p w14:paraId="5798C738" w14:textId="19CA90F9" w:rsidR="005E20BA" w:rsidRPr="00070044" w:rsidRDefault="005E20BA" w:rsidP="008B14C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C00BF">
        <w:rPr>
          <w:rFonts w:ascii="Arial" w:hAnsi="Arial" w:cs="Arial"/>
          <w:b/>
          <w:bCs/>
        </w:rPr>
        <w:t>Q.11.</w:t>
      </w:r>
      <w:r w:rsidR="001C00BF">
        <w:rPr>
          <w:rFonts w:ascii="Arial" w:hAnsi="Arial" w:cs="Arial"/>
        </w:rPr>
        <w:tab/>
      </w:r>
      <w:r w:rsidRPr="00070044">
        <w:rPr>
          <w:rFonts w:ascii="Arial" w:hAnsi="Arial" w:cs="Arial"/>
        </w:rPr>
        <w:t xml:space="preserve">Montrer que le choix d’une solution tampon à </w:t>
      </w:r>
      <w:r w:rsidRPr="001C00BF">
        <w:rPr>
          <w:rFonts w:ascii="Arial" w:hAnsi="Arial" w:cs="Arial"/>
          <w:i/>
          <w:iCs/>
        </w:rPr>
        <w:t>pH</w:t>
      </w:r>
      <w:r w:rsidRPr="00070044">
        <w:rPr>
          <w:rFonts w:ascii="Arial" w:hAnsi="Arial" w:cs="Arial"/>
        </w:rPr>
        <w:t xml:space="preserve"> = 5,5 respecte les conditions</w:t>
      </w:r>
      <w:r w:rsidR="001C00BF">
        <w:rPr>
          <w:rFonts w:ascii="Arial" w:hAnsi="Arial" w:cs="Arial"/>
        </w:rPr>
        <w:t xml:space="preserve"> </w:t>
      </w:r>
      <w:r w:rsidRPr="00070044">
        <w:rPr>
          <w:rFonts w:ascii="Arial" w:hAnsi="Arial" w:cs="Arial"/>
        </w:rPr>
        <w:t>expérimentales souhaitées.</w:t>
      </w:r>
    </w:p>
    <w:sectPr w:rsidR="005E20BA" w:rsidRPr="00070044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E11B" w14:textId="77777777" w:rsidR="00D274AB" w:rsidRDefault="00D274AB" w:rsidP="001535DF">
      <w:pPr>
        <w:spacing w:after="0" w:line="240" w:lineRule="auto"/>
      </w:pPr>
      <w:r>
        <w:separator/>
      </w:r>
    </w:p>
  </w:endnote>
  <w:endnote w:type="continuationSeparator" w:id="0">
    <w:p w14:paraId="480C4F02" w14:textId="77777777" w:rsidR="00D274AB" w:rsidRDefault="00D274AB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AC47" w14:textId="77777777" w:rsidR="00D274AB" w:rsidRDefault="00D274AB" w:rsidP="001535DF">
      <w:pPr>
        <w:spacing w:after="0" w:line="240" w:lineRule="auto"/>
      </w:pPr>
      <w:r>
        <w:separator/>
      </w:r>
    </w:p>
  </w:footnote>
  <w:footnote w:type="continuationSeparator" w:id="0">
    <w:p w14:paraId="285F918D" w14:textId="77777777" w:rsidR="00D274AB" w:rsidRDefault="00D274AB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1"/>
  </w:num>
  <w:num w:numId="3" w16cid:durableId="1648433892">
    <w:abstractNumId w:val="15"/>
  </w:num>
  <w:num w:numId="4" w16cid:durableId="1579440187">
    <w:abstractNumId w:val="14"/>
  </w:num>
  <w:num w:numId="5" w16cid:durableId="1786654171">
    <w:abstractNumId w:val="2"/>
  </w:num>
  <w:num w:numId="6" w16cid:durableId="426509613">
    <w:abstractNumId w:val="12"/>
  </w:num>
  <w:num w:numId="7" w16cid:durableId="1339189770">
    <w:abstractNumId w:val="20"/>
  </w:num>
  <w:num w:numId="8" w16cid:durableId="156264607">
    <w:abstractNumId w:val="18"/>
  </w:num>
  <w:num w:numId="9" w16cid:durableId="1301494390">
    <w:abstractNumId w:val="4"/>
  </w:num>
  <w:num w:numId="10" w16cid:durableId="1025329350">
    <w:abstractNumId w:val="3"/>
  </w:num>
  <w:num w:numId="11" w16cid:durableId="595477101">
    <w:abstractNumId w:val="0"/>
  </w:num>
  <w:num w:numId="12" w16cid:durableId="1745761800">
    <w:abstractNumId w:val="8"/>
  </w:num>
  <w:num w:numId="13" w16cid:durableId="430784358">
    <w:abstractNumId w:val="10"/>
  </w:num>
  <w:num w:numId="14" w16cid:durableId="784421546">
    <w:abstractNumId w:val="7"/>
  </w:num>
  <w:num w:numId="15" w16cid:durableId="1142112093">
    <w:abstractNumId w:val="1"/>
  </w:num>
  <w:num w:numId="16" w16cid:durableId="173884022">
    <w:abstractNumId w:val="17"/>
  </w:num>
  <w:num w:numId="17" w16cid:durableId="977882690">
    <w:abstractNumId w:val="24"/>
  </w:num>
  <w:num w:numId="18" w16cid:durableId="1082532930">
    <w:abstractNumId w:val="23"/>
  </w:num>
  <w:num w:numId="19" w16cid:durableId="1601177123">
    <w:abstractNumId w:val="5"/>
  </w:num>
  <w:num w:numId="20" w16cid:durableId="301886545">
    <w:abstractNumId w:val="11"/>
  </w:num>
  <w:num w:numId="21" w16cid:durableId="1144539268">
    <w:abstractNumId w:val="13"/>
  </w:num>
  <w:num w:numId="22" w16cid:durableId="2103256056">
    <w:abstractNumId w:val="9"/>
  </w:num>
  <w:num w:numId="23" w16cid:durableId="1265067020">
    <w:abstractNumId w:val="16"/>
  </w:num>
  <w:num w:numId="24" w16cid:durableId="933516053">
    <w:abstractNumId w:val="6"/>
  </w:num>
  <w:num w:numId="25" w16cid:durableId="6100138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070044"/>
    <w:rsid w:val="00122699"/>
    <w:rsid w:val="00150458"/>
    <w:rsid w:val="001535DF"/>
    <w:rsid w:val="00161916"/>
    <w:rsid w:val="00180E49"/>
    <w:rsid w:val="001A5F81"/>
    <w:rsid w:val="001C00BF"/>
    <w:rsid w:val="00220886"/>
    <w:rsid w:val="00233A95"/>
    <w:rsid w:val="00234D33"/>
    <w:rsid w:val="002459FF"/>
    <w:rsid w:val="002674F7"/>
    <w:rsid w:val="002C7B77"/>
    <w:rsid w:val="002F1B8B"/>
    <w:rsid w:val="002F1F28"/>
    <w:rsid w:val="00306617"/>
    <w:rsid w:val="00371118"/>
    <w:rsid w:val="0037522D"/>
    <w:rsid w:val="0038007F"/>
    <w:rsid w:val="00387A6D"/>
    <w:rsid w:val="00390AE8"/>
    <w:rsid w:val="00393FE1"/>
    <w:rsid w:val="003B14C9"/>
    <w:rsid w:val="003F3BB3"/>
    <w:rsid w:val="00406266"/>
    <w:rsid w:val="00462EE7"/>
    <w:rsid w:val="0046426E"/>
    <w:rsid w:val="00524E29"/>
    <w:rsid w:val="005847DE"/>
    <w:rsid w:val="005878B3"/>
    <w:rsid w:val="00596C9C"/>
    <w:rsid w:val="005B0D07"/>
    <w:rsid w:val="005E20BA"/>
    <w:rsid w:val="00622147"/>
    <w:rsid w:val="00635E23"/>
    <w:rsid w:val="0067625D"/>
    <w:rsid w:val="00692DDB"/>
    <w:rsid w:val="006F007E"/>
    <w:rsid w:val="00730566"/>
    <w:rsid w:val="00772069"/>
    <w:rsid w:val="00791454"/>
    <w:rsid w:val="008B14C6"/>
    <w:rsid w:val="008E38DA"/>
    <w:rsid w:val="00926C37"/>
    <w:rsid w:val="009703B6"/>
    <w:rsid w:val="00A16488"/>
    <w:rsid w:val="00A73437"/>
    <w:rsid w:val="00A82BFF"/>
    <w:rsid w:val="00A86B99"/>
    <w:rsid w:val="00A87896"/>
    <w:rsid w:val="00AB2A41"/>
    <w:rsid w:val="00AC0230"/>
    <w:rsid w:val="00B158CD"/>
    <w:rsid w:val="00B23B97"/>
    <w:rsid w:val="00B249DC"/>
    <w:rsid w:val="00B25BF5"/>
    <w:rsid w:val="00B42BC4"/>
    <w:rsid w:val="00B65A7E"/>
    <w:rsid w:val="00BE4B76"/>
    <w:rsid w:val="00C73CD9"/>
    <w:rsid w:val="00CB17D9"/>
    <w:rsid w:val="00CF1863"/>
    <w:rsid w:val="00D20592"/>
    <w:rsid w:val="00D274AB"/>
    <w:rsid w:val="00D35755"/>
    <w:rsid w:val="00D46709"/>
    <w:rsid w:val="00DD3366"/>
    <w:rsid w:val="00DF6E0E"/>
    <w:rsid w:val="00E474B7"/>
    <w:rsid w:val="00E63716"/>
    <w:rsid w:val="00E63E06"/>
    <w:rsid w:val="00EA0015"/>
    <w:rsid w:val="00EB63DF"/>
    <w:rsid w:val="00F15987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F297-4328-41EA-B76C-5619175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2024-01-21T18:16:00Z</cp:lastPrinted>
  <dcterms:created xsi:type="dcterms:W3CDTF">2024-01-21T18:16:00Z</dcterms:created>
  <dcterms:modified xsi:type="dcterms:W3CDTF">2024-01-21T18:16:00Z</dcterms:modified>
</cp:coreProperties>
</file>