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5C9D12C3" w:rsidR="00040449" w:rsidRPr="005A5EB7" w:rsidRDefault="0046426E" w:rsidP="005A5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5366007"/>
      <w:bookmarkEnd w:id="0"/>
      <w:r w:rsidRPr="005A5EB7">
        <w:rPr>
          <w:rFonts w:ascii="Arial" w:hAnsi="Arial" w:cs="Arial"/>
          <w:b/>
          <w:bCs/>
        </w:rPr>
        <w:t xml:space="preserve">2023 </w:t>
      </w:r>
      <w:r w:rsidR="00B2633F" w:rsidRPr="005A5EB7">
        <w:rPr>
          <w:rFonts w:ascii="Arial" w:hAnsi="Arial" w:cs="Arial"/>
          <w:b/>
          <w:bCs/>
        </w:rPr>
        <w:t>Métropole</w:t>
      </w:r>
      <w:r w:rsidRPr="005A5EB7">
        <w:rPr>
          <w:rFonts w:ascii="Arial" w:hAnsi="Arial" w:cs="Arial"/>
          <w:b/>
          <w:bCs/>
        </w:rPr>
        <w:t xml:space="preserve"> Jour </w:t>
      </w:r>
      <w:r w:rsidR="008D2B48" w:rsidRPr="005A5EB7">
        <w:rPr>
          <w:rFonts w:ascii="Arial" w:hAnsi="Arial" w:cs="Arial"/>
          <w:b/>
          <w:bCs/>
        </w:rPr>
        <w:t>1</w:t>
      </w:r>
      <w:r w:rsidR="00381F67" w:rsidRPr="005A5EB7">
        <w:rPr>
          <w:rFonts w:ascii="Arial" w:hAnsi="Arial" w:cs="Arial"/>
          <w:b/>
          <w:bCs/>
        </w:rPr>
        <w:t xml:space="preserve"> </w:t>
      </w:r>
      <w:r w:rsidR="00381F67" w:rsidRPr="005A5EB7">
        <w:rPr>
          <w:rFonts w:ascii="Arial" w:hAnsi="Arial" w:cs="Arial"/>
          <w:b/>
          <w:bCs/>
        </w:rPr>
        <w:tab/>
      </w:r>
      <w:hyperlink r:id="rId7" w:history="1">
        <w:r w:rsidR="005A5EB7" w:rsidRPr="004542CE">
          <w:rPr>
            <w:rStyle w:val="Lienhypertexte"/>
            <w:rFonts w:ascii="Arial" w:hAnsi="Arial" w:cs="Arial"/>
            <w:b/>
            <w:bCs/>
          </w:rPr>
          <w:t>https://labolycee.org</w:t>
        </w:r>
      </w:hyperlink>
      <w:r w:rsidR="005A5EB7">
        <w:rPr>
          <w:rFonts w:ascii="Arial" w:hAnsi="Arial" w:cs="Arial"/>
          <w:b/>
          <w:bCs/>
        </w:rPr>
        <w:t xml:space="preserve"> </w:t>
      </w:r>
    </w:p>
    <w:p w14:paraId="1B7917E5" w14:textId="75E05322" w:rsidR="00EB63DF" w:rsidRPr="005A5EB7" w:rsidRDefault="00EB63DF" w:rsidP="005A5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5A5EB7">
        <w:rPr>
          <w:rFonts w:ascii="Arial" w:hAnsi="Arial" w:cs="Arial"/>
          <w:b/>
          <w:bCs/>
        </w:rPr>
        <w:t xml:space="preserve">EXERCICE </w:t>
      </w:r>
      <w:r w:rsidR="008D2B48" w:rsidRPr="005A5EB7">
        <w:rPr>
          <w:rFonts w:ascii="Arial" w:hAnsi="Arial" w:cs="Arial"/>
          <w:b/>
          <w:bCs/>
        </w:rPr>
        <w:t>3</w:t>
      </w:r>
      <w:r w:rsidR="00122699" w:rsidRPr="005A5EB7">
        <w:rPr>
          <w:rFonts w:ascii="Arial" w:hAnsi="Arial" w:cs="Arial"/>
          <w:b/>
          <w:bCs/>
        </w:rPr>
        <w:t xml:space="preserve"> </w:t>
      </w:r>
      <w:r w:rsidR="00122699" w:rsidRPr="005A5EB7">
        <w:rPr>
          <w:rFonts w:ascii="Times New Roman" w:hAnsi="Times New Roman" w:cs="Times New Roman"/>
          <w:b/>
          <w:bCs/>
        </w:rPr>
        <w:t>‒</w:t>
      </w:r>
      <w:r w:rsidRPr="005A5EB7">
        <w:rPr>
          <w:rFonts w:ascii="Arial" w:hAnsi="Arial" w:cs="Arial"/>
          <w:b/>
          <w:bCs/>
        </w:rPr>
        <w:t xml:space="preserve"> </w:t>
      </w:r>
      <w:r w:rsidR="008D2B48" w:rsidRPr="005A5EB7">
        <w:rPr>
          <w:rFonts w:ascii="Arial" w:hAnsi="Arial" w:cs="Arial"/>
          <w:b/>
          <w:bCs/>
          <w:caps/>
        </w:rPr>
        <w:t>une formulation de l’aspirine</w:t>
      </w:r>
      <w:r w:rsidR="00122699" w:rsidRPr="005A5EB7">
        <w:rPr>
          <w:rFonts w:ascii="Arial" w:hAnsi="Arial" w:cs="Arial"/>
          <w:b/>
          <w:bCs/>
        </w:rPr>
        <w:t xml:space="preserve"> </w:t>
      </w:r>
      <w:r w:rsidRPr="005A5EB7">
        <w:rPr>
          <w:rFonts w:ascii="Arial" w:hAnsi="Arial" w:cs="Arial"/>
          <w:b/>
          <w:bCs/>
        </w:rPr>
        <w:t>(</w:t>
      </w:r>
      <w:r w:rsidR="008D2B48" w:rsidRPr="005A5EB7">
        <w:rPr>
          <w:rFonts w:ascii="Arial" w:hAnsi="Arial" w:cs="Arial"/>
          <w:b/>
          <w:bCs/>
        </w:rPr>
        <w:t>4</w:t>
      </w:r>
      <w:r w:rsidRPr="005A5EB7">
        <w:rPr>
          <w:rFonts w:ascii="Arial" w:hAnsi="Arial" w:cs="Arial"/>
          <w:b/>
          <w:bCs/>
        </w:rPr>
        <w:t xml:space="preserve"> points)</w:t>
      </w:r>
    </w:p>
    <w:p w14:paraId="5DCDD72C" w14:textId="3CC4A6D3" w:rsidR="00A34ABB" w:rsidRPr="00321C50" w:rsidRDefault="00A34ABB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22312EE" w14:textId="5BCFADFE" w:rsidR="00214F27" w:rsidRDefault="00214F27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2D01497" w14:textId="64C33916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L’aspirine est le nom commercial de l’acide acétylsalicylique. L’aspirine est utilisée depuis le début du XX</w:t>
      </w:r>
      <w:r w:rsidRPr="00AA7EAA">
        <w:rPr>
          <w:rFonts w:ascii="Arial" w:hAnsi="Arial" w:cs="Arial"/>
          <w:noProof/>
          <w:vertAlign w:val="superscript"/>
        </w:rPr>
        <w:t>e</w:t>
      </w:r>
      <w:r w:rsidR="00625397">
        <w:rPr>
          <w:rFonts w:ascii="Arial" w:hAnsi="Arial" w:cs="Arial"/>
          <w:noProof/>
        </w:rPr>
        <w:t> </w:t>
      </w:r>
      <w:r w:rsidRPr="00AA7EAA">
        <w:rPr>
          <w:rFonts w:ascii="Arial" w:hAnsi="Arial" w:cs="Arial"/>
          <w:noProof/>
        </w:rPr>
        <w:t>siècle comme principe actif analgésique (antidouleur) et antipyrétique (contre la fièvre). Il s’agit encore aujourd’hui d’un des médicaments les plus consommés au monde.</w:t>
      </w:r>
    </w:p>
    <w:p w14:paraId="3182E671" w14:textId="77777777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3B2C9DC" w14:textId="05CF540C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Cet exercice a pour objectif d’étudier un sachet de médicament contenant de l’acide acétylsalicylique.</w:t>
      </w:r>
    </w:p>
    <w:p w14:paraId="7DD7FF69" w14:textId="77777777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CF6D110" w14:textId="242F5188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AA7EAA">
        <w:rPr>
          <w:rFonts w:ascii="Arial" w:hAnsi="Arial" w:cs="Arial"/>
          <w:b/>
          <w:bCs/>
          <w:noProof/>
        </w:rPr>
        <w:t>Données :</w:t>
      </w:r>
    </w:p>
    <w:p w14:paraId="53BF5257" w14:textId="72AA904D" w:rsidR="00207D51" w:rsidRPr="00AA7EAA" w:rsidRDefault="00207D51" w:rsidP="00683616">
      <w:pPr>
        <w:pStyle w:val="Paragraphedeliste"/>
        <w:numPr>
          <w:ilvl w:val="0"/>
          <w:numId w:val="22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extrait de la notice d’un sachet de médicament contenant de l’acide acétylsalicylique :</w:t>
      </w:r>
    </w:p>
    <w:p w14:paraId="7FAC72B9" w14:textId="64CB1E7E" w:rsidR="00207D51" w:rsidRPr="00AA7EAA" w:rsidRDefault="00AA7EAA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1FC6DE" wp14:editId="580EABF1">
                <wp:extent cx="6480000" cy="720000"/>
                <wp:effectExtent l="0" t="0" r="16510" b="23495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EF190" w14:textId="662FF679" w:rsidR="00AA7EAA" w:rsidRPr="00207D51" w:rsidRDefault="00AA7EAA" w:rsidP="00AA7EAA">
                            <w:pPr>
                              <w:spacing w:after="0" w:line="240" w:lineRule="auto"/>
                              <w:ind w:left="142" w:right="212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207D5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Utilisation :</w:t>
                            </w:r>
                            <w:r w:rsidRPr="00207D51">
                              <w:rPr>
                                <w:rFonts w:ascii="Arial" w:hAnsi="Arial" w:cs="Arial"/>
                                <w:noProof/>
                              </w:rPr>
                              <w:t xml:space="preserve"> sachet dose de 1,0 g à dissoudre dans l’eau</w:t>
                            </w:r>
                          </w:p>
                          <w:p w14:paraId="4A760591" w14:textId="77777777" w:rsidR="00AA7EAA" w:rsidRPr="00207D51" w:rsidRDefault="00AA7EAA" w:rsidP="00AA7EAA">
                            <w:pPr>
                              <w:spacing w:after="0" w:line="240" w:lineRule="auto"/>
                              <w:ind w:left="142" w:right="212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207D5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Principe actif :</w:t>
                            </w:r>
                            <w:r w:rsidRPr="00207D51">
                              <w:rPr>
                                <w:rFonts w:ascii="Arial" w:hAnsi="Arial" w:cs="Arial"/>
                                <w:noProof/>
                              </w:rPr>
                              <w:t xml:space="preserve"> ion acétylsalicylate</w:t>
                            </w:r>
                          </w:p>
                          <w:p w14:paraId="6A6526A2" w14:textId="68281EBC" w:rsidR="00AA7EAA" w:rsidRDefault="00AA7EAA" w:rsidP="00AA7EAA">
                            <w:pPr>
                              <w:ind w:left="142" w:right="212"/>
                            </w:pPr>
                            <w:r w:rsidRPr="00207D5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Composition :</w:t>
                            </w:r>
                            <w:r w:rsidRPr="00207D51">
                              <w:rPr>
                                <w:rFonts w:ascii="Arial" w:hAnsi="Arial" w:cs="Arial"/>
                                <w:noProof/>
                              </w:rPr>
                              <w:t xml:space="preserve"> 900 mg d’acétylsalicylate de DL-lysine équivalent à un apport de 500 mg en acide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Pr="00207D51">
                              <w:rPr>
                                <w:rFonts w:ascii="Arial" w:hAnsi="Arial" w:cs="Arial"/>
                                <w:noProof/>
                              </w:rPr>
                              <w:t>acétylsalicylique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1FC6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10.2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">
                <v:textbox inset="0,0,0,0">
                  <w:txbxContent>
                    <w:p w14:paraId="58AEF190" w14:textId="662FF679" w:rsidR="00AA7EAA" w:rsidRPr="00207D51" w:rsidRDefault="00AA7EAA" w:rsidP="00AA7EAA">
                      <w:pPr>
                        <w:spacing w:after="0" w:line="240" w:lineRule="auto"/>
                        <w:ind w:left="142" w:right="212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207D51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Utilisation :</w:t>
                      </w:r>
                      <w:r w:rsidRPr="00207D51">
                        <w:rPr>
                          <w:rFonts w:ascii="Arial" w:hAnsi="Arial" w:cs="Arial"/>
                          <w:noProof/>
                        </w:rPr>
                        <w:t xml:space="preserve"> sachet dose de 1,0 g à dissoudre dans l’eau</w:t>
                      </w:r>
                    </w:p>
                    <w:p w14:paraId="4A760591" w14:textId="77777777" w:rsidR="00AA7EAA" w:rsidRPr="00207D51" w:rsidRDefault="00AA7EAA" w:rsidP="00AA7EAA">
                      <w:pPr>
                        <w:spacing w:after="0" w:line="240" w:lineRule="auto"/>
                        <w:ind w:left="142" w:right="212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207D51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Principe actif :</w:t>
                      </w:r>
                      <w:r w:rsidRPr="00207D51">
                        <w:rPr>
                          <w:rFonts w:ascii="Arial" w:hAnsi="Arial" w:cs="Arial"/>
                          <w:noProof/>
                        </w:rPr>
                        <w:t xml:space="preserve"> ion acétylsalicylate</w:t>
                      </w:r>
                    </w:p>
                    <w:p w14:paraId="6A6526A2" w14:textId="68281EBC" w:rsidR="00AA7EAA" w:rsidRDefault="00AA7EAA" w:rsidP="00AA7EAA">
                      <w:pPr>
                        <w:ind w:left="142" w:right="212"/>
                      </w:pPr>
                      <w:r w:rsidRPr="00207D51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Composition :</w:t>
                      </w:r>
                      <w:r w:rsidRPr="00207D51">
                        <w:rPr>
                          <w:rFonts w:ascii="Arial" w:hAnsi="Arial" w:cs="Arial"/>
                          <w:noProof/>
                        </w:rPr>
                        <w:t xml:space="preserve"> 900 mg d’acétylsalicylate de DL-lysine équivalent à un apport de 500 mg en acide</w:t>
                      </w:r>
                      <w:r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Pr="00207D51">
                        <w:rPr>
                          <w:rFonts w:ascii="Arial" w:hAnsi="Arial" w:cs="Arial"/>
                          <w:noProof/>
                        </w:rPr>
                        <w:t>acétylsalicylique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36C9FD" w14:textId="77777777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563C7F1" w14:textId="38394198" w:rsidR="00207D51" w:rsidRPr="00AA7EAA" w:rsidRDefault="00207D51" w:rsidP="00683616">
      <w:pPr>
        <w:pStyle w:val="Paragraphedeliste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en dissolvant un sachet de médicament dans 40 mL d’eau, on obtient une solution de pH = 5,0 ;</w:t>
      </w:r>
    </w:p>
    <w:p w14:paraId="4FFA325B" w14:textId="3CCE2147" w:rsidR="00207D51" w:rsidRPr="00AA7EAA" w:rsidRDefault="00207D51" w:rsidP="00683616">
      <w:pPr>
        <w:pStyle w:val="Paragraphedeliste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 xml:space="preserve">couple acide-base (acide acétylsalicylique / ion acétylsalicylate) : </w:t>
      </w:r>
      <w:r w:rsidRPr="00AA7EAA">
        <w:rPr>
          <w:rFonts w:ascii="Arial" w:hAnsi="Arial" w:cs="Arial"/>
          <w:i/>
          <w:iCs/>
          <w:noProof/>
        </w:rPr>
        <w:t>pK</w:t>
      </w:r>
      <w:r w:rsidRPr="00AA7EAA">
        <w:rPr>
          <w:rFonts w:ascii="Arial" w:hAnsi="Arial" w:cs="Arial"/>
          <w:noProof/>
          <w:vertAlign w:val="subscript"/>
        </w:rPr>
        <w:t>A</w:t>
      </w:r>
      <w:r w:rsidRPr="00AA7EAA">
        <w:rPr>
          <w:rFonts w:ascii="Arial" w:hAnsi="Arial" w:cs="Arial"/>
          <w:noProof/>
        </w:rPr>
        <w:t xml:space="preserve"> = 3,5 à 25 °C ;</w:t>
      </w:r>
    </w:p>
    <w:p w14:paraId="4C6AA3AD" w14:textId="5CBF91F0" w:rsidR="00207D51" w:rsidRPr="00AA7EAA" w:rsidRDefault="00207D51" w:rsidP="00683616">
      <w:pPr>
        <w:pStyle w:val="Paragraphedeliste"/>
        <w:numPr>
          <w:ilvl w:val="0"/>
          <w:numId w:val="23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propriétés de quelques espèces chimiques :</w:t>
      </w:r>
    </w:p>
    <w:tbl>
      <w:tblPr>
        <w:tblStyle w:val="Grilledutableau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AA7EAA" w:rsidRPr="00321C50" w14:paraId="5634CE92" w14:textId="77777777" w:rsidTr="00AA7EAA">
        <w:trPr>
          <w:trHeight w:val="408"/>
          <w:jc w:val="center"/>
        </w:trPr>
        <w:tc>
          <w:tcPr>
            <w:tcW w:w="3048" w:type="dxa"/>
            <w:tcBorders>
              <w:top w:val="nil"/>
              <w:left w:val="nil"/>
            </w:tcBorders>
            <w:vAlign w:val="center"/>
          </w:tcPr>
          <w:p w14:paraId="00448AFB" w14:textId="12B94D6B" w:rsidR="00AA7EAA" w:rsidRPr="00321C50" w:rsidRDefault="00AA7EAA" w:rsidP="00683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9" w:type="dxa"/>
            <w:vAlign w:val="center"/>
          </w:tcPr>
          <w:p w14:paraId="6094726F" w14:textId="1DCDB5D6" w:rsidR="00AA7EAA" w:rsidRPr="00321C50" w:rsidRDefault="00AA7EAA" w:rsidP="00683616">
            <w:pPr>
              <w:jc w:val="center"/>
              <w:rPr>
                <w:rFonts w:ascii="Arial" w:hAnsi="Arial" w:cs="Arial"/>
              </w:rPr>
            </w:pPr>
            <w:r w:rsidRPr="00AA7EAA">
              <w:rPr>
                <w:rFonts w:ascii="Arial" w:hAnsi="Arial" w:cs="Arial"/>
                <w:noProof/>
              </w:rPr>
              <w:t>Acide acétylsalicylique</w:t>
            </w:r>
          </w:p>
        </w:tc>
        <w:tc>
          <w:tcPr>
            <w:tcW w:w="3049" w:type="dxa"/>
            <w:vAlign w:val="center"/>
          </w:tcPr>
          <w:p w14:paraId="39F6EF75" w14:textId="10F59160" w:rsidR="00AA7EAA" w:rsidRPr="00321C50" w:rsidRDefault="00AA7EAA" w:rsidP="00683616">
            <w:pPr>
              <w:jc w:val="center"/>
              <w:rPr>
                <w:rFonts w:ascii="Arial" w:hAnsi="Arial" w:cs="Arial"/>
              </w:rPr>
            </w:pPr>
            <w:r w:rsidRPr="00AA7EAA">
              <w:rPr>
                <w:rFonts w:ascii="Arial" w:hAnsi="Arial" w:cs="Arial"/>
                <w:noProof/>
              </w:rPr>
              <w:t>DL-Lysine</w:t>
            </w:r>
          </w:p>
        </w:tc>
      </w:tr>
      <w:tr w:rsidR="00AA7EAA" w:rsidRPr="00321C50" w14:paraId="1356584F" w14:textId="77777777" w:rsidTr="00AA7EAA">
        <w:trPr>
          <w:trHeight w:val="408"/>
          <w:jc w:val="center"/>
        </w:trPr>
        <w:tc>
          <w:tcPr>
            <w:tcW w:w="3048" w:type="dxa"/>
            <w:vAlign w:val="center"/>
          </w:tcPr>
          <w:p w14:paraId="7CABD121" w14:textId="3A3A369C" w:rsidR="00AA7EAA" w:rsidRPr="00321C50" w:rsidRDefault="00AA7EAA" w:rsidP="00683616">
            <w:pPr>
              <w:jc w:val="center"/>
              <w:rPr>
                <w:rFonts w:ascii="Arial" w:hAnsi="Arial" w:cs="Arial"/>
              </w:rPr>
            </w:pPr>
            <w:r w:rsidRPr="00AA7EAA">
              <w:rPr>
                <w:rFonts w:ascii="Arial" w:hAnsi="Arial" w:cs="Arial"/>
                <w:noProof/>
              </w:rPr>
              <w:t>Formule topologique</w:t>
            </w:r>
          </w:p>
        </w:tc>
        <w:tc>
          <w:tcPr>
            <w:tcW w:w="3049" w:type="dxa"/>
            <w:vAlign w:val="center"/>
          </w:tcPr>
          <w:p w14:paraId="6682E389" w14:textId="7749FA20" w:rsidR="00AA7EAA" w:rsidRPr="00321C50" w:rsidRDefault="00AA7EAA" w:rsidP="00683616">
            <w:pPr>
              <w:jc w:val="center"/>
              <w:rPr>
                <w:rFonts w:ascii="Arial" w:hAnsi="Arial" w:cs="Arial"/>
              </w:rPr>
            </w:pPr>
            <w:r w:rsidRPr="00AA7EAA">
              <w:rPr>
                <w:rFonts w:ascii="Arial" w:hAnsi="Arial" w:cs="Arial"/>
                <w:noProof/>
              </w:rPr>
              <w:drawing>
                <wp:inline distT="0" distB="0" distL="0" distR="0" wp14:anchorId="6C0D8C97" wp14:editId="5ED77D81">
                  <wp:extent cx="949510" cy="742950"/>
                  <wp:effectExtent l="0" t="0" r="317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677" cy="7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14:paraId="465FE50C" w14:textId="15C831C4" w:rsidR="00AA7EAA" w:rsidRPr="00321C50" w:rsidRDefault="00AA7EAA" w:rsidP="00683616">
            <w:pPr>
              <w:jc w:val="center"/>
              <w:rPr>
                <w:rFonts w:ascii="Arial" w:hAnsi="Arial" w:cs="Arial"/>
              </w:rPr>
            </w:pPr>
            <w:r w:rsidRPr="00AA7EAA">
              <w:rPr>
                <w:rFonts w:ascii="Arial" w:hAnsi="Arial" w:cs="Arial"/>
                <w:noProof/>
              </w:rPr>
              <w:drawing>
                <wp:inline distT="0" distB="0" distL="0" distR="0" wp14:anchorId="3C29F316" wp14:editId="3D743F14">
                  <wp:extent cx="1416050" cy="587612"/>
                  <wp:effectExtent l="0" t="0" r="0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708" cy="598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EAA" w:rsidRPr="00321C50" w14:paraId="407AEDD7" w14:textId="77777777" w:rsidTr="00AA7EAA">
        <w:trPr>
          <w:trHeight w:val="408"/>
          <w:jc w:val="center"/>
        </w:trPr>
        <w:tc>
          <w:tcPr>
            <w:tcW w:w="3048" w:type="dxa"/>
            <w:vAlign w:val="center"/>
          </w:tcPr>
          <w:p w14:paraId="2F816FE6" w14:textId="3A3F1879" w:rsidR="00AA7EAA" w:rsidRPr="00321C50" w:rsidRDefault="00AA7EAA" w:rsidP="00683616">
            <w:pPr>
              <w:jc w:val="center"/>
              <w:rPr>
                <w:rFonts w:ascii="Arial" w:hAnsi="Arial" w:cs="Arial"/>
              </w:rPr>
            </w:pPr>
            <w:r w:rsidRPr="00AA7EAA">
              <w:rPr>
                <w:rFonts w:ascii="Arial" w:hAnsi="Arial" w:cs="Arial"/>
                <w:noProof/>
              </w:rPr>
              <w:t>Formule brute</w:t>
            </w:r>
          </w:p>
        </w:tc>
        <w:tc>
          <w:tcPr>
            <w:tcW w:w="3049" w:type="dxa"/>
            <w:vAlign w:val="center"/>
          </w:tcPr>
          <w:p w14:paraId="13AE891F" w14:textId="2DAB0AEB" w:rsidR="00AA7EAA" w:rsidRPr="00321C50" w:rsidRDefault="00AA7EAA" w:rsidP="00683616">
            <w:pPr>
              <w:jc w:val="center"/>
              <w:rPr>
                <w:rFonts w:ascii="Arial" w:hAnsi="Arial" w:cs="Arial"/>
              </w:rPr>
            </w:pPr>
            <w:r w:rsidRPr="00AA7EAA">
              <w:rPr>
                <w:rFonts w:ascii="Arial" w:hAnsi="Arial" w:cs="Arial"/>
                <w:noProof/>
              </w:rPr>
              <w:t>C</w:t>
            </w:r>
            <w:r w:rsidRPr="00AA7EAA">
              <w:rPr>
                <w:rFonts w:ascii="Arial" w:hAnsi="Arial" w:cs="Arial"/>
                <w:noProof/>
                <w:vertAlign w:val="subscript"/>
              </w:rPr>
              <w:t>9</w:t>
            </w:r>
            <w:r w:rsidRPr="00AA7EAA">
              <w:rPr>
                <w:rFonts w:ascii="Arial" w:hAnsi="Arial" w:cs="Arial"/>
                <w:noProof/>
              </w:rPr>
              <w:t>H</w:t>
            </w:r>
            <w:r w:rsidRPr="00AA7EAA">
              <w:rPr>
                <w:rFonts w:ascii="Arial" w:hAnsi="Arial" w:cs="Arial"/>
                <w:noProof/>
                <w:vertAlign w:val="subscript"/>
              </w:rPr>
              <w:t>8</w:t>
            </w:r>
            <w:r w:rsidRPr="00AA7EAA">
              <w:rPr>
                <w:rFonts w:ascii="Arial" w:hAnsi="Arial" w:cs="Arial"/>
                <w:noProof/>
              </w:rPr>
              <w:t>O</w:t>
            </w:r>
            <w:r w:rsidRPr="00AA7EAA">
              <w:rPr>
                <w:rFonts w:ascii="Arial" w:hAnsi="Arial" w:cs="Arial"/>
                <w:noProof/>
                <w:vertAlign w:val="subscript"/>
              </w:rPr>
              <w:t>4</w:t>
            </w:r>
          </w:p>
        </w:tc>
        <w:tc>
          <w:tcPr>
            <w:tcW w:w="3049" w:type="dxa"/>
            <w:vAlign w:val="center"/>
          </w:tcPr>
          <w:p w14:paraId="29CF3771" w14:textId="77D96020" w:rsidR="00AA7EAA" w:rsidRPr="00321C50" w:rsidRDefault="00AA7EAA" w:rsidP="00683616">
            <w:pPr>
              <w:jc w:val="center"/>
              <w:rPr>
                <w:rFonts w:ascii="Arial" w:hAnsi="Arial" w:cs="Arial"/>
              </w:rPr>
            </w:pPr>
            <w:r w:rsidRPr="00AA7EAA">
              <w:rPr>
                <w:rFonts w:ascii="Arial" w:hAnsi="Arial" w:cs="Arial"/>
                <w:noProof/>
              </w:rPr>
              <w:t>C</w:t>
            </w:r>
            <w:r w:rsidRPr="00AA7EAA">
              <w:rPr>
                <w:rFonts w:ascii="Arial" w:hAnsi="Arial" w:cs="Arial"/>
                <w:noProof/>
                <w:vertAlign w:val="subscript"/>
              </w:rPr>
              <w:t>6</w:t>
            </w:r>
            <w:r w:rsidRPr="00AA7EAA">
              <w:rPr>
                <w:rFonts w:ascii="Arial" w:hAnsi="Arial" w:cs="Arial"/>
                <w:noProof/>
              </w:rPr>
              <w:t>H</w:t>
            </w:r>
            <w:r w:rsidRPr="00AA7EAA">
              <w:rPr>
                <w:rFonts w:ascii="Arial" w:hAnsi="Arial" w:cs="Arial"/>
                <w:noProof/>
                <w:vertAlign w:val="subscript"/>
              </w:rPr>
              <w:t>14</w:t>
            </w:r>
            <w:r w:rsidRPr="00AA7EAA">
              <w:rPr>
                <w:rFonts w:ascii="Arial" w:hAnsi="Arial" w:cs="Arial"/>
                <w:noProof/>
              </w:rPr>
              <w:t>N</w:t>
            </w:r>
            <w:r w:rsidRPr="00AA7EAA">
              <w:rPr>
                <w:rFonts w:ascii="Arial" w:hAnsi="Arial" w:cs="Arial"/>
                <w:noProof/>
                <w:vertAlign w:val="subscript"/>
              </w:rPr>
              <w:t>2</w:t>
            </w:r>
            <w:r w:rsidRPr="00AA7EAA">
              <w:rPr>
                <w:rFonts w:ascii="Arial" w:hAnsi="Arial" w:cs="Arial"/>
                <w:noProof/>
              </w:rPr>
              <w:t>O</w:t>
            </w:r>
            <w:r w:rsidRPr="00AA7EAA">
              <w:rPr>
                <w:rFonts w:ascii="Arial" w:hAnsi="Arial" w:cs="Arial"/>
                <w:noProof/>
                <w:vertAlign w:val="subscript"/>
              </w:rPr>
              <w:t>2</w:t>
            </w:r>
          </w:p>
        </w:tc>
      </w:tr>
      <w:tr w:rsidR="00AA7EAA" w:rsidRPr="00321C50" w14:paraId="1F1F47B2" w14:textId="77777777" w:rsidTr="00AA7EAA">
        <w:trPr>
          <w:trHeight w:val="408"/>
          <w:jc w:val="center"/>
        </w:trPr>
        <w:tc>
          <w:tcPr>
            <w:tcW w:w="3048" w:type="dxa"/>
            <w:vAlign w:val="center"/>
          </w:tcPr>
          <w:p w14:paraId="0828F771" w14:textId="051AF02D" w:rsidR="00AA7EAA" w:rsidRPr="00321C50" w:rsidRDefault="00AA7EAA" w:rsidP="00683616">
            <w:pPr>
              <w:jc w:val="center"/>
              <w:rPr>
                <w:rFonts w:ascii="Arial" w:hAnsi="Arial" w:cs="Arial"/>
                <w:noProof/>
              </w:rPr>
            </w:pPr>
            <w:r w:rsidRPr="00AA7EAA">
              <w:rPr>
                <w:rFonts w:ascii="Arial" w:hAnsi="Arial" w:cs="Arial"/>
                <w:noProof/>
              </w:rPr>
              <w:t>Masse molaire (g·mol –1 )</w:t>
            </w:r>
          </w:p>
        </w:tc>
        <w:tc>
          <w:tcPr>
            <w:tcW w:w="3049" w:type="dxa"/>
            <w:vAlign w:val="center"/>
          </w:tcPr>
          <w:p w14:paraId="26A9555C" w14:textId="67ECD643" w:rsidR="00AA7EAA" w:rsidRPr="00321C50" w:rsidRDefault="00AA7EAA" w:rsidP="00683616">
            <w:pPr>
              <w:jc w:val="center"/>
              <w:rPr>
                <w:rFonts w:ascii="Arial" w:hAnsi="Arial" w:cs="Arial"/>
                <w:noProof/>
              </w:rPr>
            </w:pPr>
            <w:r w:rsidRPr="00AA7EAA">
              <w:rPr>
                <w:rFonts w:ascii="Arial" w:hAnsi="Arial" w:cs="Arial"/>
                <w:noProof/>
              </w:rPr>
              <w:t>180,2</w:t>
            </w:r>
          </w:p>
        </w:tc>
        <w:tc>
          <w:tcPr>
            <w:tcW w:w="3049" w:type="dxa"/>
            <w:vAlign w:val="center"/>
          </w:tcPr>
          <w:p w14:paraId="493C83D0" w14:textId="0B36577C" w:rsidR="00AA7EAA" w:rsidRPr="00321C50" w:rsidRDefault="00AA7EAA" w:rsidP="00683616">
            <w:pPr>
              <w:jc w:val="center"/>
              <w:rPr>
                <w:rFonts w:ascii="Arial" w:hAnsi="Arial" w:cs="Arial"/>
                <w:noProof/>
              </w:rPr>
            </w:pPr>
            <w:r w:rsidRPr="00AA7EAA">
              <w:rPr>
                <w:rFonts w:ascii="Arial" w:hAnsi="Arial" w:cs="Arial"/>
                <w:noProof/>
              </w:rPr>
              <w:t>146,2</w:t>
            </w:r>
          </w:p>
        </w:tc>
      </w:tr>
    </w:tbl>
    <w:p w14:paraId="0142478E" w14:textId="77777777" w:rsidR="00AA7EAA" w:rsidRDefault="00AA7EAA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CA3A37F" w14:textId="2E63413E" w:rsidR="00AA7EAA" w:rsidRPr="00AA7EAA" w:rsidRDefault="00AA7EAA" w:rsidP="00683616">
      <w:pPr>
        <w:pStyle w:val="Paragraphedeliste"/>
        <w:numPr>
          <w:ilvl w:val="0"/>
          <w:numId w:val="23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diagramme de prédominance (sans souci d’échelle) de la DL-Lysine</w:t>
      </w:r>
      <w:r>
        <w:rPr>
          <w:rFonts w:ascii="Arial" w:hAnsi="Arial" w:cs="Arial"/>
          <w:noProof/>
        </w:rPr>
        <w:t> :</w:t>
      </w:r>
    </w:p>
    <w:p w14:paraId="7E1D1281" w14:textId="58E9674A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drawing>
          <wp:inline distT="0" distB="0" distL="0" distR="0" wp14:anchorId="529DD2E8" wp14:editId="190E6946">
            <wp:extent cx="6477000" cy="98425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FF304" w14:textId="77777777" w:rsidR="00AA7EAA" w:rsidRDefault="00AA7EAA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84035B0" w14:textId="732AEEAF" w:rsidR="00AA7EAA" w:rsidRPr="00AA7EAA" w:rsidRDefault="00AA7EAA" w:rsidP="00683616">
      <w:pPr>
        <w:pStyle w:val="Paragraphedeliste"/>
        <w:numPr>
          <w:ilvl w:val="0"/>
          <w:numId w:val="23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cercle chromatique</w:t>
      </w:r>
      <w:r>
        <w:rPr>
          <w:rFonts w:ascii="Arial" w:hAnsi="Arial" w:cs="Arial"/>
          <w:noProof/>
        </w:rPr>
        <w:t> :</w:t>
      </w:r>
    </w:p>
    <w:p w14:paraId="366AAAC8" w14:textId="22A3067E" w:rsidR="00AA7EAA" w:rsidRPr="00AA7EAA" w:rsidRDefault="00AA7EAA" w:rsidP="00683616">
      <w:pPr>
        <w:spacing w:after="0" w:line="240" w:lineRule="auto"/>
        <w:jc w:val="center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drawing>
          <wp:inline distT="0" distB="0" distL="0" distR="0" wp14:anchorId="633CE5CA" wp14:editId="3248644E">
            <wp:extent cx="1885950" cy="158695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47" cy="158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9BB0" w14:textId="77777777" w:rsidR="00AA7EAA" w:rsidRPr="00AA7EAA" w:rsidRDefault="00AA7EAA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275379E" w14:textId="22E12EFA" w:rsidR="00AA7EAA" w:rsidRPr="00AA7EAA" w:rsidRDefault="00625397" w:rsidP="00683616">
      <w:pPr>
        <w:pStyle w:val="Paragraphedeliste"/>
        <w:numPr>
          <w:ilvl w:val="0"/>
          <w:numId w:val="23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pour décider si le résultat d’une mesure est en accord avec une valeur de référence, on utilise le</w:t>
      </w:r>
      <w:r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 xml:space="preserve">quotient </w:t>
      </w:r>
      <m:oMath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|x-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</w:rPr>
                  <m:t>ref</m:t>
                </m:r>
              </m:sub>
            </m:sSub>
            <m:r>
              <w:rPr>
                <w:rFonts w:ascii="Cambria Math" w:hAnsi="Cambria Math" w:cs="Arial"/>
                <w:noProof/>
              </w:rPr>
              <m:t xml:space="preserve">  |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noProof/>
              </w:rPr>
              <m:t>u(x)</m:t>
            </m:r>
          </m:den>
        </m:f>
      </m:oMath>
      <w:r>
        <w:rPr>
          <w:rFonts w:ascii="Arial" w:eastAsiaTheme="minorEastAsia" w:hAnsi="Arial" w:cs="Arial"/>
          <w:noProof/>
        </w:rPr>
        <w:t xml:space="preserve">  </w:t>
      </w:r>
      <w:r w:rsidRPr="00AA7EAA">
        <w:rPr>
          <w:rFonts w:ascii="Arial" w:hAnsi="Arial" w:cs="Arial"/>
          <w:noProof/>
        </w:rPr>
        <w:t xml:space="preserve">avec </w:t>
      </w:r>
      <w:r w:rsidRPr="00625397">
        <w:rPr>
          <w:rFonts w:ascii="Arial" w:hAnsi="Arial" w:cs="Arial"/>
          <w:i/>
          <w:iCs/>
          <w:noProof/>
        </w:rPr>
        <w:t>x</w:t>
      </w:r>
      <w:r w:rsidRPr="00AA7EAA">
        <w:rPr>
          <w:rFonts w:ascii="Arial" w:hAnsi="Arial" w:cs="Arial"/>
          <w:noProof/>
        </w:rPr>
        <w:t>, la valeur mesurée</w:t>
      </w:r>
      <w:r>
        <w:rPr>
          <w:rFonts w:ascii="Arial" w:hAnsi="Arial" w:cs="Arial"/>
          <w:noProof/>
        </w:rPr>
        <w:t> ;</w:t>
      </w:r>
      <w:r w:rsidRPr="00AA7EAA">
        <w:rPr>
          <w:rFonts w:ascii="Arial" w:hAnsi="Arial" w:cs="Arial"/>
          <w:noProof/>
        </w:rPr>
        <w:t xml:space="preserve"> </w:t>
      </w:r>
      <w:r w:rsidRPr="00625397">
        <w:rPr>
          <w:rFonts w:ascii="Arial" w:hAnsi="Arial" w:cs="Arial"/>
          <w:i/>
          <w:iCs/>
          <w:noProof/>
        </w:rPr>
        <w:t>x</w:t>
      </w:r>
      <w:r w:rsidRPr="00625397">
        <w:rPr>
          <w:rFonts w:ascii="Arial" w:hAnsi="Arial" w:cs="Arial"/>
          <w:noProof/>
          <w:vertAlign w:val="subscript"/>
        </w:rPr>
        <w:t>ref</w:t>
      </w:r>
      <w:r w:rsidRPr="00AA7EAA">
        <w:rPr>
          <w:rFonts w:ascii="Arial" w:hAnsi="Arial" w:cs="Arial"/>
          <w:noProof/>
        </w:rPr>
        <w:t xml:space="preserve"> la valeur de référence et u(x), l’incertitude-type</w:t>
      </w:r>
      <w:r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 xml:space="preserve">associée à la valeur mesurée </w:t>
      </w:r>
      <w:r w:rsidRPr="00625397">
        <w:rPr>
          <w:rFonts w:ascii="Arial" w:hAnsi="Arial" w:cs="Arial"/>
          <w:i/>
          <w:iCs/>
          <w:noProof/>
        </w:rPr>
        <w:t>x</w:t>
      </w:r>
      <w:r w:rsidRPr="00AA7EAA">
        <w:rPr>
          <w:rFonts w:ascii="Arial" w:hAnsi="Arial" w:cs="Arial"/>
          <w:noProof/>
        </w:rPr>
        <w:t>.</w:t>
      </w:r>
    </w:p>
    <w:p w14:paraId="56F2E2E8" w14:textId="3BB4720F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br w:type="page"/>
      </w:r>
    </w:p>
    <w:p w14:paraId="41532FFC" w14:textId="2AB22B3D" w:rsidR="00207D51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lastRenderedPageBreak/>
        <w:t>Le sachet de médicament étudié contient de l’aspirine sous la forme d’un composé ionique, l’acétylsalicylate</w:t>
      </w:r>
      <w:r w:rsidR="00683616"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>de DL-lysine.</w:t>
      </w:r>
    </w:p>
    <w:p w14:paraId="10317DFB" w14:textId="7AD29323" w:rsidR="00683616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CB72CD3" w14:textId="0AB5F327" w:rsidR="00683616" w:rsidRPr="00DC6534" w:rsidRDefault="00683616" w:rsidP="00683616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Q1.</w:t>
      </w:r>
      <w:r w:rsidRPr="00AA7EAA">
        <w:rPr>
          <w:rFonts w:ascii="Arial" w:hAnsi="Arial" w:cs="Arial"/>
          <w:noProof/>
        </w:rPr>
        <w:t xml:space="preserve"> Représenter la formule semi-développée de l’ion acétylsalicylate.</w:t>
      </w:r>
    </w:p>
    <w:p w14:paraId="7B6398A7" w14:textId="36E43116" w:rsidR="00683616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77FD42F" w14:textId="23F92D19" w:rsidR="00683616" w:rsidRPr="00DC6534" w:rsidRDefault="00683616" w:rsidP="00683616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2</w:t>
      </w:r>
      <w:r w:rsidRPr="00DC5D5B">
        <w:rPr>
          <w:rFonts w:ascii="Arial" w:hAnsi="Arial" w:cs="Arial"/>
          <w:b/>
          <w:bCs/>
        </w:rPr>
        <w:t>.</w:t>
      </w:r>
      <w:r w:rsidRPr="00AA7EAA">
        <w:rPr>
          <w:rFonts w:ascii="Arial" w:hAnsi="Arial" w:cs="Arial"/>
          <w:noProof/>
        </w:rPr>
        <w:t xml:space="preserve"> La DL-lysine appartient à la famille des acides aminés. Proposer une explication.</w:t>
      </w:r>
    </w:p>
    <w:p w14:paraId="6B3BDA8D" w14:textId="723C50F3" w:rsidR="00683616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F64EC3C" w14:textId="715F72CE" w:rsidR="00683616" w:rsidRPr="00DC6534" w:rsidRDefault="00683616" w:rsidP="00683616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3</w:t>
      </w:r>
      <w:r w:rsidRPr="00DC5D5B">
        <w:rPr>
          <w:rFonts w:ascii="Arial" w:hAnsi="Arial" w:cs="Arial"/>
          <w:b/>
          <w:bCs/>
        </w:rPr>
        <w:t>.</w:t>
      </w:r>
      <w:r w:rsidRPr="00AA7EAA">
        <w:rPr>
          <w:rFonts w:ascii="Arial" w:hAnsi="Arial" w:cs="Arial"/>
          <w:noProof/>
        </w:rPr>
        <w:t xml:space="preserve"> Indiquer la forme prédominante des espèces associées à l’acide acétylsalicylique et à la DL-lysine</w:t>
      </w:r>
      <w:r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>présentes dans la solution de médicament obtenue après dissolution du contenu du sachet dans l’eau.</w:t>
      </w:r>
    </w:p>
    <w:p w14:paraId="0EFA72B1" w14:textId="390E9FE2" w:rsidR="00683616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2491CC6" w14:textId="0F6E3892" w:rsidR="00683616" w:rsidRPr="00DC6534" w:rsidRDefault="00683616" w:rsidP="00683616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4</w:t>
      </w:r>
      <w:r w:rsidRPr="00DC5D5B">
        <w:rPr>
          <w:rFonts w:ascii="Arial" w:hAnsi="Arial" w:cs="Arial"/>
          <w:b/>
          <w:bCs/>
        </w:rPr>
        <w:t>.</w:t>
      </w:r>
      <w:r w:rsidRPr="00AA7EAA">
        <w:rPr>
          <w:rFonts w:ascii="Arial" w:hAnsi="Arial" w:cs="Arial"/>
          <w:noProof/>
        </w:rPr>
        <w:t xml:space="preserve"> Justifier alors que le titrage acide-base de cette solution aqueuse de médicament par une solution d’acide</w:t>
      </w:r>
      <w:r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>fort ne permet pas de déterminer directement la quantité de matière de l’ion acétylsalicylate en solution.</w:t>
      </w:r>
    </w:p>
    <w:p w14:paraId="011861B2" w14:textId="127CFF2D" w:rsidR="00683616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F1EFD1F" w14:textId="77777777" w:rsidR="00683616" w:rsidRPr="00AA7EAA" w:rsidRDefault="00683616" w:rsidP="00683616">
      <w:pPr>
        <w:spacing w:after="12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On souhaite vérifier l’indication «</w:t>
      </w:r>
      <w:r>
        <w:rPr>
          <w:rFonts w:ascii="Arial" w:hAnsi="Arial" w:cs="Arial"/>
          <w:noProof/>
        </w:rPr>
        <w:t> </w:t>
      </w:r>
      <w:r w:rsidRPr="00AA7EAA">
        <w:rPr>
          <w:rFonts w:ascii="Arial" w:hAnsi="Arial" w:cs="Arial"/>
          <w:noProof/>
        </w:rPr>
        <w:t>équivalent à un apport de 500 mg en acide acétylsalicylique</w:t>
      </w:r>
      <w:r>
        <w:rPr>
          <w:rFonts w:ascii="Arial" w:hAnsi="Arial" w:cs="Arial"/>
          <w:noProof/>
        </w:rPr>
        <w:t> </w:t>
      </w:r>
      <w:r w:rsidRPr="00AA7EAA">
        <w:rPr>
          <w:rFonts w:ascii="Arial" w:hAnsi="Arial" w:cs="Arial"/>
          <w:noProof/>
        </w:rPr>
        <w:t>» figurant sur la</w:t>
      </w:r>
      <w:r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>notice du médicament. Pour cela, on réalise le protocole suivant</w:t>
      </w:r>
      <w:r>
        <w:rPr>
          <w:rFonts w:ascii="Arial" w:hAnsi="Arial" w:cs="Arial"/>
          <w:noProof/>
        </w:rPr>
        <w:t> :</w:t>
      </w:r>
    </w:p>
    <w:p w14:paraId="72E17CC7" w14:textId="6B0328FA" w:rsidR="00683616" w:rsidRDefault="00683616" w:rsidP="00683616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  <w:noProof/>
        </w:rPr>
      </w:pPr>
      <w:r w:rsidRPr="00683616">
        <w:rPr>
          <w:rFonts w:ascii="Arial" w:hAnsi="Arial" w:cs="Arial"/>
          <w:noProof/>
        </w:rPr>
        <w:t xml:space="preserve">étape 1 : placer le contenu d’un sachet dans une fiole jaugée de volume </w:t>
      </w:r>
      <w:r w:rsidRPr="00683616">
        <w:rPr>
          <w:rFonts w:ascii="Arial" w:hAnsi="Arial" w:cs="Arial"/>
          <w:i/>
          <w:iCs/>
          <w:noProof/>
        </w:rPr>
        <w:t>V</w:t>
      </w:r>
      <w:r w:rsidRPr="00683616">
        <w:rPr>
          <w:rFonts w:ascii="Arial" w:hAnsi="Arial" w:cs="Arial"/>
          <w:noProof/>
          <w:vertAlign w:val="subscript"/>
        </w:rPr>
        <w:t>1</w:t>
      </w:r>
      <w:r w:rsidRPr="00683616">
        <w:rPr>
          <w:rFonts w:ascii="Arial" w:hAnsi="Arial" w:cs="Arial"/>
          <w:noProof/>
        </w:rPr>
        <w:t xml:space="preserve"> = 250 mL, ajouter 10 mL d’une solution d’hydroxyde de sodium concentrée, homogénéiser le mélange et attendre 20 minutes, puis compléter jusqu’au trait de jauge avec de l’eau distillée</w:t>
      </w:r>
      <w:r>
        <w:rPr>
          <w:rFonts w:ascii="Arial" w:hAnsi="Arial" w:cs="Arial"/>
          <w:noProof/>
        </w:rPr>
        <w:t> ;</w:t>
      </w:r>
    </w:p>
    <w:p w14:paraId="7347F3C8" w14:textId="77777777" w:rsidR="00683616" w:rsidRPr="00683616" w:rsidRDefault="00683616" w:rsidP="00683616">
      <w:pPr>
        <w:pStyle w:val="Paragraphedeliste"/>
        <w:tabs>
          <w:tab w:val="left" w:pos="567"/>
        </w:tabs>
        <w:spacing w:after="0" w:line="240" w:lineRule="auto"/>
        <w:ind w:left="568"/>
        <w:contextualSpacing w:val="0"/>
        <w:jc w:val="both"/>
        <w:rPr>
          <w:rFonts w:ascii="Arial" w:hAnsi="Arial" w:cs="Arial"/>
          <w:noProof/>
        </w:rPr>
      </w:pPr>
    </w:p>
    <w:p w14:paraId="4F7CDB6C" w14:textId="77777777" w:rsidR="00683616" w:rsidRPr="00683616" w:rsidRDefault="00683616" w:rsidP="00683616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noProof/>
        </w:rPr>
      </w:pPr>
      <w:r w:rsidRPr="00683616">
        <w:rPr>
          <w:rFonts w:ascii="Arial" w:hAnsi="Arial" w:cs="Arial"/>
          <w:noProof/>
        </w:rPr>
        <w:t xml:space="preserve">étape 2 : prélever un volume </w:t>
      </w:r>
      <w:r w:rsidRPr="00683616">
        <w:rPr>
          <w:rFonts w:ascii="Arial" w:hAnsi="Arial" w:cs="Arial"/>
          <w:i/>
          <w:iCs/>
          <w:noProof/>
        </w:rPr>
        <w:t>V</w:t>
      </w:r>
      <w:r>
        <w:rPr>
          <w:rFonts w:ascii="Arial" w:hAnsi="Arial" w:cs="Arial"/>
          <w:noProof/>
          <w:vertAlign w:val="subscript"/>
        </w:rPr>
        <w:t>2</w:t>
      </w:r>
      <w:r w:rsidRPr="00683616">
        <w:rPr>
          <w:rFonts w:ascii="Arial" w:hAnsi="Arial" w:cs="Arial"/>
          <w:noProof/>
        </w:rPr>
        <w:t xml:space="preserve"> = 5,0 mL de cette solution, l’introduire dans une fiole jaugée de volume </w:t>
      </w:r>
      <w:r w:rsidRPr="00683616">
        <w:rPr>
          <w:rFonts w:ascii="Arial" w:hAnsi="Arial" w:cs="Arial"/>
          <w:i/>
          <w:iCs/>
          <w:noProof/>
        </w:rPr>
        <w:t>V</w:t>
      </w:r>
      <w:r>
        <w:rPr>
          <w:rFonts w:ascii="Arial" w:hAnsi="Arial" w:cs="Arial"/>
          <w:noProof/>
          <w:vertAlign w:val="subscript"/>
        </w:rPr>
        <w:t>3</w:t>
      </w:r>
      <w:r w:rsidRPr="00683616">
        <w:rPr>
          <w:rFonts w:ascii="Arial" w:hAnsi="Arial" w:cs="Arial"/>
          <w:noProof/>
        </w:rPr>
        <w:t xml:space="preserve"> = 50,0 mL et compléter jusqu’au trait de jauge avec une solution acidifiée de nitrate de fer (Fe</w:t>
      </w:r>
      <w:r w:rsidRPr="00683616">
        <w:rPr>
          <w:rFonts w:ascii="Arial" w:hAnsi="Arial" w:cs="Arial"/>
          <w:noProof/>
          <w:vertAlign w:val="superscript"/>
        </w:rPr>
        <w:t>3+</w:t>
      </w:r>
      <w:r w:rsidRPr="00683616">
        <w:rPr>
          <w:rFonts w:ascii="Arial" w:hAnsi="Arial" w:cs="Arial"/>
          <w:noProof/>
        </w:rPr>
        <w:t>(aq) ; 3 NO</w:t>
      </w:r>
      <w:r w:rsidRPr="00683616">
        <w:rPr>
          <w:rFonts w:ascii="Arial" w:hAnsi="Arial" w:cs="Arial"/>
          <w:noProof/>
          <w:vertAlign w:val="subscript"/>
        </w:rPr>
        <w:t>3</w:t>
      </w:r>
      <w:r w:rsidRPr="00683616">
        <w:rPr>
          <w:rFonts w:ascii="Arial" w:hAnsi="Arial" w:cs="Arial"/>
          <w:noProof/>
          <w:vertAlign w:val="superscript"/>
        </w:rPr>
        <w:t>–</w:t>
      </w:r>
      <w:r w:rsidRPr="00683616">
        <w:rPr>
          <w:rFonts w:ascii="Arial" w:hAnsi="Arial" w:cs="Arial"/>
          <w:noProof/>
        </w:rPr>
        <w:t>(aq)). On note S la solution obtenue, dans laquelle a été formée une espèce colorée, notée B.</w:t>
      </w:r>
    </w:p>
    <w:p w14:paraId="6056156C" w14:textId="6180B34A" w:rsidR="00683616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667C112" w14:textId="77777777" w:rsidR="00683616" w:rsidRPr="00AA7EAA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Lors de la mise en œuvre de ce protocole, les transformations chimiques mises en jeu sont toutes modélisées</w:t>
      </w:r>
      <w:r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>par des réactions considérées comme totales. La figure 1 en représente les étapes simplifiées.</w:t>
      </w:r>
    </w:p>
    <w:p w14:paraId="3566CA33" w14:textId="77777777" w:rsidR="00683616" w:rsidRPr="00AA7EAA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Les nombres stœchiométriques associés aux espèces représentées sont tous égaux à 1</w:t>
      </w:r>
      <w:r>
        <w:rPr>
          <w:rFonts w:ascii="Arial" w:hAnsi="Arial" w:cs="Arial"/>
          <w:noProof/>
        </w:rPr>
        <w:t> :</w:t>
      </w:r>
    </w:p>
    <w:p w14:paraId="12B23536" w14:textId="77777777" w:rsidR="00683616" w:rsidRPr="00AA7EAA" w:rsidRDefault="00683616" w:rsidP="00683616">
      <w:pPr>
        <w:spacing w:after="0" w:line="240" w:lineRule="auto"/>
        <w:jc w:val="center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drawing>
          <wp:inline distT="0" distB="0" distL="0" distR="0" wp14:anchorId="59B01276" wp14:editId="52C11B66">
            <wp:extent cx="5118100" cy="1235577"/>
            <wp:effectExtent l="0" t="0" r="635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619" cy="12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A7F50" w14:textId="09FA493D" w:rsidR="00683616" w:rsidRPr="00AA7EAA" w:rsidRDefault="00683616" w:rsidP="00683616">
      <w:pPr>
        <w:tabs>
          <w:tab w:val="left" w:pos="5387"/>
          <w:tab w:val="left" w:pos="8222"/>
        </w:tabs>
        <w:spacing w:after="0" w:line="240" w:lineRule="auto"/>
        <w:ind w:firstLine="1134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Acide acétylsalicylique</w:t>
      </w:r>
      <w:r>
        <w:rPr>
          <w:rFonts w:ascii="Arial" w:hAnsi="Arial" w:cs="Arial"/>
          <w:noProof/>
        </w:rPr>
        <w:tab/>
      </w:r>
      <w:r w:rsidRPr="00AA7EAA">
        <w:rPr>
          <w:rFonts w:ascii="Arial" w:hAnsi="Arial" w:cs="Arial"/>
          <w:noProof/>
        </w:rPr>
        <w:t>Ion salicylate</w:t>
      </w:r>
      <w:r>
        <w:rPr>
          <w:rFonts w:ascii="Arial" w:hAnsi="Arial" w:cs="Arial"/>
          <w:noProof/>
        </w:rPr>
        <w:tab/>
      </w:r>
      <w:r w:rsidRPr="00AA7EAA">
        <w:rPr>
          <w:rFonts w:ascii="Arial" w:hAnsi="Arial" w:cs="Arial"/>
          <w:noProof/>
        </w:rPr>
        <w:t>Espèce colorée B</w:t>
      </w:r>
    </w:p>
    <w:p w14:paraId="216AFCAB" w14:textId="77777777" w:rsidR="00683616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BEF8BE4" w14:textId="77777777" w:rsidR="00683616" w:rsidRPr="00AA7EAA" w:rsidRDefault="00683616" w:rsidP="00683616">
      <w:pPr>
        <w:spacing w:after="0" w:line="240" w:lineRule="auto"/>
        <w:jc w:val="center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Figure 1</w:t>
      </w:r>
      <w:r>
        <w:rPr>
          <w:rFonts w:ascii="Arial" w:hAnsi="Arial" w:cs="Arial"/>
          <w:noProof/>
        </w:rPr>
        <w:t> :</w:t>
      </w:r>
      <w:r w:rsidRPr="00AA7EAA">
        <w:rPr>
          <w:rFonts w:ascii="Arial" w:hAnsi="Arial" w:cs="Arial"/>
          <w:noProof/>
        </w:rPr>
        <w:t xml:space="preserve"> étapes simplifiées de la synthèse de l’espèce colorée B</w:t>
      </w:r>
    </w:p>
    <w:p w14:paraId="4A3494A2" w14:textId="77777777" w:rsidR="00683616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5A0CC7F" w14:textId="77777777" w:rsidR="00683616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On souhaite réaliser le dosage spectrophotométrique par étalonnage de l’espèce colorée B obtenue à l’issue</w:t>
      </w:r>
      <w:r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>de l’étape 2. On admet que seule l’espèce B absorbe dans le domaine du visible.</w:t>
      </w:r>
    </w:p>
    <w:p w14:paraId="74D1EF49" w14:textId="77777777" w:rsidR="00683616" w:rsidRPr="00AA7EAA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4D5CAD7" w14:textId="77777777" w:rsidR="00683616" w:rsidRPr="00AA7EAA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Pour cela, on utilise une solution mère de l’espèce colorée B, à partir de laquelle on prépare par dilution</w:t>
      </w:r>
      <w:r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>6 solutions étalons de concentrations connues. L’une de ces solutions étalons permet de réaliser le spectre</w:t>
      </w:r>
      <w:r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 xml:space="preserve">d’absorption donné sur la figure 2. On mesure l’absorbance, à la longueur d’onde </w:t>
      </w:r>
      <w:r w:rsidRPr="00381F67">
        <w:rPr>
          <w:rFonts w:ascii="Arial" w:hAnsi="Arial" w:cs="Arial"/>
          <w:i/>
          <w:iCs/>
          <w:noProof/>
        </w:rPr>
        <w:t>λ</w:t>
      </w:r>
      <w:r w:rsidRPr="00AA7EAA">
        <w:rPr>
          <w:rFonts w:ascii="Arial" w:hAnsi="Arial" w:cs="Arial"/>
          <w:noProof/>
        </w:rPr>
        <w:t xml:space="preserve"> appropriée, de chaque</w:t>
      </w:r>
      <w:r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>solution étalon. Les résultats sont donnés en figure 3.</w:t>
      </w:r>
    </w:p>
    <w:p w14:paraId="5E36F912" w14:textId="77777777" w:rsidR="00683616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53E68A2" w14:textId="3BCA7B5C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br w:type="page"/>
      </w:r>
    </w:p>
    <w:p w14:paraId="67A81839" w14:textId="678E06E8" w:rsidR="00207D51" w:rsidRPr="00AA7EAA" w:rsidRDefault="00207D51" w:rsidP="00E74C75">
      <w:pPr>
        <w:spacing w:after="0" w:line="240" w:lineRule="auto"/>
        <w:jc w:val="center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lastRenderedPageBreak/>
        <w:drawing>
          <wp:inline distT="0" distB="0" distL="0" distR="0" wp14:anchorId="49CBA866" wp14:editId="078D765E">
            <wp:extent cx="4767847" cy="22225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002" cy="222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3210E" w14:textId="77777777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520BB9C" w14:textId="36B63CB1" w:rsidR="00207D51" w:rsidRPr="00AA7EAA" w:rsidRDefault="00207D51" w:rsidP="00E74C75">
      <w:pPr>
        <w:spacing w:after="0" w:line="240" w:lineRule="auto"/>
        <w:jc w:val="center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Figure 2. Spectre d’absorption d’une solution aqueuse de l’espèce colorée B</w:t>
      </w:r>
    </w:p>
    <w:p w14:paraId="43CA108F" w14:textId="17E6B6DA" w:rsidR="00207D51" w:rsidRDefault="00207D51" w:rsidP="00E74C75">
      <w:pPr>
        <w:spacing w:after="0" w:line="240" w:lineRule="auto"/>
        <w:jc w:val="center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à la concentration 1,74 mmol.L</w:t>
      </w:r>
      <w:r w:rsidRPr="00E74C75">
        <w:rPr>
          <w:rFonts w:ascii="Arial" w:hAnsi="Arial" w:cs="Arial"/>
          <w:noProof/>
          <w:vertAlign w:val="superscript"/>
        </w:rPr>
        <w:t>–1</w:t>
      </w:r>
    </w:p>
    <w:p w14:paraId="0F791BC8" w14:textId="77777777" w:rsidR="00683616" w:rsidRPr="00AA7EAA" w:rsidRDefault="00683616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29C2D41" w14:textId="07CF84AF" w:rsidR="00683616" w:rsidRPr="00DC6534" w:rsidRDefault="00683616" w:rsidP="00683616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5</w:t>
      </w:r>
      <w:r w:rsidRPr="00DC5D5B">
        <w:rPr>
          <w:rFonts w:ascii="Arial" w:hAnsi="Arial" w:cs="Arial"/>
          <w:b/>
          <w:bCs/>
        </w:rPr>
        <w:t>.</w:t>
      </w:r>
      <w:r w:rsidRPr="00AA7EAA">
        <w:rPr>
          <w:rFonts w:ascii="Arial" w:hAnsi="Arial" w:cs="Arial"/>
          <w:noProof/>
        </w:rPr>
        <w:t xml:space="preserve"> Proposer une valeur de la longueur d’onde appropriée pour le dosage par étalonnage et en déduire la</w:t>
      </w:r>
      <w:r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>couleur de la solution contenant l’espèce B.</w:t>
      </w:r>
    </w:p>
    <w:p w14:paraId="6D0F55A2" w14:textId="77777777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9C9C2A1" w14:textId="6A979ECA" w:rsidR="00207D51" w:rsidRPr="00AA7EAA" w:rsidRDefault="00207D51" w:rsidP="00E74C75">
      <w:pPr>
        <w:spacing w:after="120" w:line="240" w:lineRule="auto"/>
        <w:jc w:val="center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drawing>
          <wp:inline distT="0" distB="0" distL="0" distR="0" wp14:anchorId="25B028B1" wp14:editId="7D7FE41A">
            <wp:extent cx="6172200" cy="38061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239" cy="38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30FA4" w14:textId="2C3C73F5" w:rsidR="00207D51" w:rsidRPr="00AA7EAA" w:rsidRDefault="00207D51" w:rsidP="00E74C75">
      <w:pPr>
        <w:spacing w:after="0" w:line="240" w:lineRule="auto"/>
        <w:jc w:val="center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>Figure 3. Absorbance en fonction de la concentration en espèce B</w:t>
      </w:r>
    </w:p>
    <w:p w14:paraId="36AFA3D8" w14:textId="77777777" w:rsidR="00E74C75" w:rsidRPr="00AA7EAA" w:rsidRDefault="00E74C75" w:rsidP="00E74C75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9BBC1C5" w14:textId="77777777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AA7EAA">
        <w:rPr>
          <w:rFonts w:ascii="Arial" w:hAnsi="Arial" w:cs="Arial"/>
          <w:noProof/>
        </w:rPr>
        <w:t xml:space="preserve">La mesure de l’absorbance de la solution S obtenue à partir du sachet de médicament donne </w:t>
      </w:r>
      <w:r w:rsidRPr="00381F67">
        <w:rPr>
          <w:rFonts w:ascii="Arial" w:hAnsi="Arial" w:cs="Arial"/>
          <w:i/>
          <w:iCs/>
          <w:noProof/>
        </w:rPr>
        <w:t>A</w:t>
      </w:r>
      <w:r w:rsidRPr="00AA7EAA">
        <w:rPr>
          <w:rFonts w:ascii="Arial" w:hAnsi="Arial" w:cs="Arial"/>
          <w:noProof/>
        </w:rPr>
        <w:t xml:space="preserve"> = 0,80.</w:t>
      </w:r>
    </w:p>
    <w:p w14:paraId="20D9A8CF" w14:textId="77777777" w:rsidR="00E74C75" w:rsidRPr="00AA7EAA" w:rsidRDefault="00E74C75" w:rsidP="00E74C75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57112C2" w14:textId="1EF9BED7" w:rsidR="00207D51" w:rsidRPr="00AA7EAA" w:rsidRDefault="00207D51" w:rsidP="00683616">
      <w:pPr>
        <w:spacing w:after="0" w:line="240" w:lineRule="auto"/>
        <w:jc w:val="both"/>
        <w:rPr>
          <w:rFonts w:ascii="Arial" w:hAnsi="Arial" w:cs="Arial"/>
          <w:noProof/>
        </w:rPr>
      </w:pPr>
      <w:r w:rsidRPr="00E74C75">
        <w:rPr>
          <w:rFonts w:ascii="Arial" w:hAnsi="Arial" w:cs="Arial"/>
          <w:b/>
          <w:bCs/>
          <w:noProof/>
        </w:rPr>
        <w:t>Q6.</w:t>
      </w:r>
      <w:r w:rsidRPr="00AA7EAA">
        <w:rPr>
          <w:rFonts w:ascii="Arial" w:hAnsi="Arial" w:cs="Arial"/>
          <w:noProof/>
        </w:rPr>
        <w:t xml:space="preserve"> En considérant que l’incertitude-type associée à la détermination de la masse a pour valeur </w:t>
      </w:r>
      <w:r w:rsidRPr="00381F67">
        <w:rPr>
          <w:rFonts w:ascii="Arial" w:hAnsi="Arial" w:cs="Arial"/>
          <w:i/>
          <w:iCs/>
          <w:noProof/>
        </w:rPr>
        <w:t>u(m)</w:t>
      </w:r>
      <w:r w:rsidR="00E74C75">
        <w:rPr>
          <w:rFonts w:ascii="Arial" w:hAnsi="Arial" w:cs="Arial"/>
          <w:noProof/>
        </w:rPr>
        <w:t> </w:t>
      </w:r>
      <w:r w:rsidRPr="00AA7EAA">
        <w:rPr>
          <w:rFonts w:ascii="Arial" w:hAnsi="Arial" w:cs="Arial"/>
          <w:noProof/>
        </w:rPr>
        <w:t xml:space="preserve">= </w:t>
      </w:r>
      <w:r w:rsidR="00E74C75">
        <w:rPr>
          <w:rFonts w:ascii="Arial" w:hAnsi="Arial" w:cs="Arial"/>
          <w:noProof/>
        </w:rPr>
        <w:t> </w:t>
      </w:r>
      <w:r w:rsidRPr="00AA7EAA">
        <w:rPr>
          <w:rFonts w:ascii="Arial" w:hAnsi="Arial" w:cs="Arial"/>
          <w:noProof/>
        </w:rPr>
        <w:t>0</w:t>
      </w:r>
      <w:r w:rsidR="00E74C75">
        <w:rPr>
          <w:rFonts w:ascii="Arial" w:hAnsi="Arial" w:cs="Arial"/>
          <w:noProof/>
        </w:rPr>
        <w:t> </w:t>
      </w:r>
      <w:r w:rsidRPr="00AA7EAA">
        <w:rPr>
          <w:rFonts w:ascii="Arial" w:hAnsi="Arial" w:cs="Arial"/>
          <w:noProof/>
        </w:rPr>
        <w:t>mg,</w:t>
      </w:r>
      <w:r w:rsidR="00E74C75"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 xml:space="preserve">vérifier si la masse équivalente </w:t>
      </w:r>
      <w:r w:rsidRPr="00E74C75">
        <w:rPr>
          <w:rFonts w:ascii="Arial" w:hAnsi="Arial" w:cs="Arial"/>
          <w:i/>
          <w:iCs/>
          <w:noProof/>
        </w:rPr>
        <w:t>m</w:t>
      </w:r>
      <w:r w:rsidRPr="00E74C75">
        <w:rPr>
          <w:rFonts w:ascii="Arial" w:hAnsi="Arial" w:cs="Arial"/>
          <w:i/>
          <w:iCs/>
          <w:noProof/>
          <w:vertAlign w:val="subscript"/>
        </w:rPr>
        <w:t>exp</w:t>
      </w:r>
      <w:r w:rsidRPr="00AA7EAA">
        <w:rPr>
          <w:rFonts w:ascii="Arial" w:hAnsi="Arial" w:cs="Arial"/>
          <w:noProof/>
        </w:rPr>
        <w:t xml:space="preserve"> d’acide acétylsalicylique présente dans le sachet est en accord avec les</w:t>
      </w:r>
      <w:r w:rsidR="00E74C75">
        <w:rPr>
          <w:rFonts w:ascii="Arial" w:hAnsi="Arial" w:cs="Arial"/>
          <w:noProof/>
        </w:rPr>
        <w:t xml:space="preserve"> </w:t>
      </w:r>
      <w:r w:rsidRPr="00AA7EAA">
        <w:rPr>
          <w:rFonts w:ascii="Arial" w:hAnsi="Arial" w:cs="Arial"/>
          <w:noProof/>
        </w:rPr>
        <w:t>informations présentes sur la notice.</w:t>
      </w:r>
    </w:p>
    <w:p w14:paraId="1BB2874B" w14:textId="77777777" w:rsidR="00E74C75" w:rsidRDefault="00E74C75" w:rsidP="0068361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DE97D22" w14:textId="6E1AF83F" w:rsidR="00207D51" w:rsidRPr="00E74C75" w:rsidRDefault="00207D51" w:rsidP="00683616">
      <w:pPr>
        <w:spacing w:after="0" w:line="240" w:lineRule="auto"/>
        <w:jc w:val="both"/>
        <w:rPr>
          <w:rFonts w:ascii="Arial" w:hAnsi="Arial" w:cs="Arial"/>
          <w:i/>
          <w:iCs/>
          <w:noProof/>
          <w:spacing w:val="-4"/>
        </w:rPr>
      </w:pPr>
      <w:r w:rsidRPr="00E74C75">
        <w:rPr>
          <w:rFonts w:ascii="Arial" w:hAnsi="Arial" w:cs="Arial"/>
          <w:i/>
          <w:iCs/>
          <w:noProof/>
          <w:spacing w:val="-4"/>
        </w:rPr>
        <w:t>Le candidat est invité à prendre des initiatives et à présenter la démarche suivie, même si elle n’a pas abouti.</w:t>
      </w:r>
    </w:p>
    <w:p w14:paraId="5FA1A486" w14:textId="613DDE37" w:rsidR="008D2B48" w:rsidRPr="00422851" w:rsidRDefault="00207D51" w:rsidP="00683616">
      <w:pPr>
        <w:spacing w:after="0" w:line="240" w:lineRule="auto"/>
        <w:jc w:val="both"/>
        <w:rPr>
          <w:rFonts w:ascii="Arial" w:hAnsi="Arial" w:cs="Arial"/>
          <w:i/>
          <w:iCs/>
          <w:noProof/>
        </w:rPr>
      </w:pPr>
      <w:r w:rsidRPr="00E74C75">
        <w:rPr>
          <w:rFonts w:ascii="Arial" w:hAnsi="Arial" w:cs="Arial"/>
          <w:i/>
          <w:iCs/>
          <w:noProof/>
        </w:rPr>
        <w:t>La démarche est évaluée et doit être correctement présentée.</w:t>
      </w:r>
    </w:p>
    <w:sectPr w:rsidR="008D2B48" w:rsidRPr="00422851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B6EC" w14:textId="77777777" w:rsidR="00B84E2B" w:rsidRDefault="00B84E2B" w:rsidP="001535DF">
      <w:pPr>
        <w:spacing w:after="0" w:line="240" w:lineRule="auto"/>
      </w:pPr>
      <w:r>
        <w:separator/>
      </w:r>
    </w:p>
  </w:endnote>
  <w:endnote w:type="continuationSeparator" w:id="0">
    <w:p w14:paraId="4B02588A" w14:textId="77777777" w:rsidR="00B84E2B" w:rsidRDefault="00B84E2B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0DA6" w14:textId="77777777" w:rsidR="00B84E2B" w:rsidRDefault="00B84E2B" w:rsidP="001535DF">
      <w:pPr>
        <w:spacing w:after="0" w:line="240" w:lineRule="auto"/>
      </w:pPr>
      <w:r>
        <w:separator/>
      </w:r>
    </w:p>
  </w:footnote>
  <w:footnote w:type="continuationSeparator" w:id="0">
    <w:p w14:paraId="0D2EB02F" w14:textId="77777777" w:rsidR="00B84E2B" w:rsidRDefault="00B84E2B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4EE1"/>
    <w:multiLevelType w:val="hybridMultilevel"/>
    <w:tmpl w:val="9C16A5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25899"/>
    <w:multiLevelType w:val="hybridMultilevel"/>
    <w:tmpl w:val="6B5C3E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150B3"/>
    <w:multiLevelType w:val="hybridMultilevel"/>
    <w:tmpl w:val="2E1C30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1F51"/>
    <w:multiLevelType w:val="hybridMultilevel"/>
    <w:tmpl w:val="47D4E4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D46"/>
    <w:multiLevelType w:val="hybridMultilevel"/>
    <w:tmpl w:val="5B4846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A02"/>
    <w:multiLevelType w:val="hybridMultilevel"/>
    <w:tmpl w:val="2A60FE9E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92673"/>
    <w:multiLevelType w:val="hybridMultilevel"/>
    <w:tmpl w:val="862A96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D1DC1"/>
    <w:multiLevelType w:val="hybridMultilevel"/>
    <w:tmpl w:val="1326EADA"/>
    <w:lvl w:ilvl="0" w:tplc="B7E2F776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95EEE"/>
    <w:multiLevelType w:val="hybridMultilevel"/>
    <w:tmpl w:val="E7403DE8"/>
    <w:lvl w:ilvl="0" w:tplc="D4764CE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E8CD2B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26038"/>
    <w:multiLevelType w:val="hybridMultilevel"/>
    <w:tmpl w:val="F8BCD1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105BE"/>
    <w:multiLevelType w:val="hybridMultilevel"/>
    <w:tmpl w:val="0D968A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EB48B9"/>
    <w:multiLevelType w:val="hybridMultilevel"/>
    <w:tmpl w:val="5218C0C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41EE7"/>
    <w:multiLevelType w:val="hybridMultilevel"/>
    <w:tmpl w:val="566E1B3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29796506">
    <w:abstractNumId w:val="19"/>
  </w:num>
  <w:num w:numId="2" w16cid:durableId="147598150">
    <w:abstractNumId w:val="22"/>
  </w:num>
  <w:num w:numId="3" w16cid:durableId="1648433892">
    <w:abstractNumId w:val="12"/>
  </w:num>
  <w:num w:numId="4" w16cid:durableId="1579440187">
    <w:abstractNumId w:val="10"/>
  </w:num>
  <w:num w:numId="5" w16cid:durableId="1786654171">
    <w:abstractNumId w:val="1"/>
  </w:num>
  <w:num w:numId="6" w16cid:durableId="426509613">
    <w:abstractNumId w:val="8"/>
  </w:num>
  <w:num w:numId="7" w16cid:durableId="1339189770">
    <w:abstractNumId w:val="21"/>
  </w:num>
  <w:num w:numId="8" w16cid:durableId="156264607">
    <w:abstractNumId w:val="18"/>
  </w:num>
  <w:num w:numId="9" w16cid:durableId="1301494390">
    <w:abstractNumId w:val="3"/>
  </w:num>
  <w:num w:numId="10" w16cid:durableId="1025329350">
    <w:abstractNumId w:val="2"/>
  </w:num>
  <w:num w:numId="11" w16cid:durableId="595477101">
    <w:abstractNumId w:val="0"/>
  </w:num>
  <w:num w:numId="12" w16cid:durableId="1769694657">
    <w:abstractNumId w:val="14"/>
  </w:num>
  <w:num w:numId="13" w16cid:durableId="436829615">
    <w:abstractNumId w:val="15"/>
  </w:num>
  <w:num w:numId="14" w16cid:durableId="1739594560">
    <w:abstractNumId w:val="5"/>
  </w:num>
  <w:num w:numId="15" w16cid:durableId="1448507326">
    <w:abstractNumId w:val="23"/>
  </w:num>
  <w:num w:numId="16" w16cid:durableId="2075816653">
    <w:abstractNumId w:val="17"/>
  </w:num>
  <w:num w:numId="17" w16cid:durableId="1871186884">
    <w:abstractNumId w:val="11"/>
  </w:num>
  <w:num w:numId="18" w16cid:durableId="346490720">
    <w:abstractNumId w:val="7"/>
  </w:num>
  <w:num w:numId="19" w16cid:durableId="230042721">
    <w:abstractNumId w:val="6"/>
  </w:num>
  <w:num w:numId="20" w16cid:durableId="17321463">
    <w:abstractNumId w:val="9"/>
  </w:num>
  <w:num w:numId="21" w16cid:durableId="316496477">
    <w:abstractNumId w:val="13"/>
  </w:num>
  <w:num w:numId="22" w16cid:durableId="1979068439">
    <w:abstractNumId w:val="4"/>
  </w:num>
  <w:num w:numId="23" w16cid:durableId="1416122649">
    <w:abstractNumId w:val="16"/>
  </w:num>
  <w:num w:numId="24" w16cid:durableId="9132742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27A2C"/>
    <w:rsid w:val="00032CAA"/>
    <w:rsid w:val="00036B43"/>
    <w:rsid w:val="00040449"/>
    <w:rsid w:val="00122699"/>
    <w:rsid w:val="001535DF"/>
    <w:rsid w:val="00161916"/>
    <w:rsid w:val="001A5F81"/>
    <w:rsid w:val="00207D51"/>
    <w:rsid w:val="00214F27"/>
    <w:rsid w:val="00220886"/>
    <w:rsid w:val="00233A95"/>
    <w:rsid w:val="00234D33"/>
    <w:rsid w:val="002674F7"/>
    <w:rsid w:val="002A5111"/>
    <w:rsid w:val="002E5C6B"/>
    <w:rsid w:val="00321C50"/>
    <w:rsid w:val="00371118"/>
    <w:rsid w:val="0037522D"/>
    <w:rsid w:val="00381F67"/>
    <w:rsid w:val="00387A6D"/>
    <w:rsid w:val="003B14C9"/>
    <w:rsid w:val="003F3BB3"/>
    <w:rsid w:val="00422851"/>
    <w:rsid w:val="0046426E"/>
    <w:rsid w:val="00475307"/>
    <w:rsid w:val="00503489"/>
    <w:rsid w:val="005329EA"/>
    <w:rsid w:val="005847DE"/>
    <w:rsid w:val="005A5EB7"/>
    <w:rsid w:val="005D2614"/>
    <w:rsid w:val="005F6346"/>
    <w:rsid w:val="00607AC6"/>
    <w:rsid w:val="00622147"/>
    <w:rsid w:val="00625397"/>
    <w:rsid w:val="00635E23"/>
    <w:rsid w:val="00683616"/>
    <w:rsid w:val="00692DDB"/>
    <w:rsid w:val="00730566"/>
    <w:rsid w:val="00772069"/>
    <w:rsid w:val="008D2B48"/>
    <w:rsid w:val="008E38DA"/>
    <w:rsid w:val="00926C37"/>
    <w:rsid w:val="00977E2D"/>
    <w:rsid w:val="00A34ABB"/>
    <w:rsid w:val="00A86B99"/>
    <w:rsid w:val="00AA7EAA"/>
    <w:rsid w:val="00AB2A41"/>
    <w:rsid w:val="00AC0230"/>
    <w:rsid w:val="00AE259D"/>
    <w:rsid w:val="00B158CD"/>
    <w:rsid w:val="00B249DC"/>
    <w:rsid w:val="00B2633F"/>
    <w:rsid w:val="00B62A72"/>
    <w:rsid w:val="00B65A7E"/>
    <w:rsid w:val="00B66EF1"/>
    <w:rsid w:val="00B84E2B"/>
    <w:rsid w:val="00BF6681"/>
    <w:rsid w:val="00C23FC9"/>
    <w:rsid w:val="00C73CD9"/>
    <w:rsid w:val="00CA4FFF"/>
    <w:rsid w:val="00D20592"/>
    <w:rsid w:val="00D22343"/>
    <w:rsid w:val="00D46709"/>
    <w:rsid w:val="00D628AA"/>
    <w:rsid w:val="00D92843"/>
    <w:rsid w:val="00DC5D5B"/>
    <w:rsid w:val="00DC6534"/>
    <w:rsid w:val="00E74C75"/>
    <w:rsid w:val="00E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A5E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5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6</cp:revision>
  <cp:lastPrinted>2024-01-13T08:30:00Z</cp:lastPrinted>
  <dcterms:created xsi:type="dcterms:W3CDTF">2024-01-13T08:27:00Z</dcterms:created>
  <dcterms:modified xsi:type="dcterms:W3CDTF">2024-01-13T08:30:00Z</dcterms:modified>
</cp:coreProperties>
</file>