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6124" w14:textId="42FB8CE3" w:rsidR="009E05CB" w:rsidRDefault="009E05CB" w:rsidP="009E05CB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Asie 2023 Jour 1</w:t>
      </w:r>
      <w:r w:rsidR="00B758B6">
        <w:rPr>
          <w:rFonts w:ascii="Arial" w:hAnsi="Arial" w:cs="Arial"/>
          <w:b/>
          <w:bCs/>
        </w:rPr>
        <w:tab/>
      </w:r>
      <w:r w:rsidR="00B758B6">
        <w:rPr>
          <w:rFonts w:ascii="Arial" w:hAnsi="Arial" w:cs="Arial"/>
          <w:b/>
          <w:bCs/>
        </w:rPr>
        <w:tab/>
      </w:r>
      <w:r w:rsidR="00B758B6">
        <w:rPr>
          <w:rFonts w:ascii="Arial" w:hAnsi="Arial" w:cs="Arial"/>
          <w:b/>
          <w:bCs/>
        </w:rPr>
        <w:tab/>
      </w:r>
      <w:r w:rsidR="00B758B6">
        <w:rPr>
          <w:rFonts w:ascii="Arial" w:hAnsi="Arial" w:cs="Arial"/>
          <w:b/>
          <w:bCs/>
        </w:rPr>
        <w:tab/>
      </w:r>
      <w:r w:rsidR="00B758B6">
        <w:rPr>
          <w:rFonts w:ascii="Arial" w:hAnsi="Arial" w:cs="Arial"/>
          <w:b/>
          <w:bCs/>
        </w:rPr>
        <w:tab/>
      </w:r>
      <w:r w:rsidR="00B758B6">
        <w:rPr>
          <w:rFonts w:ascii="Arial" w:hAnsi="Arial" w:cs="Arial"/>
          <w:b/>
          <w:bCs/>
        </w:rPr>
        <w:tab/>
      </w:r>
      <w:r w:rsidR="00B758B6">
        <w:rPr>
          <w:rFonts w:ascii="Arial" w:hAnsi="Arial" w:cs="Arial"/>
          <w:b/>
          <w:bCs/>
        </w:rPr>
        <w:tab/>
      </w:r>
      <w:hyperlink r:id="rId8" w:history="1">
        <w:r w:rsidR="00B758B6" w:rsidRPr="005A20AA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 w:rsidR="00B758B6">
        <w:rPr>
          <w:rFonts w:ascii="Arial" w:hAnsi="Arial" w:cs="Arial"/>
          <w:b/>
          <w:bCs/>
        </w:rPr>
        <w:t xml:space="preserve"> </w:t>
      </w:r>
    </w:p>
    <w:p w14:paraId="00AFFB69" w14:textId="069E81D5" w:rsidR="00806BA9" w:rsidRDefault="009E05CB" w:rsidP="009E05CB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EXERCICE II</w:t>
      </w:r>
      <w:r w:rsidR="00806BA9" w:rsidRPr="008A616F">
        <w:rPr>
          <w:rFonts w:ascii="Arial" w:hAnsi="Arial" w:cs="Arial"/>
          <w:b/>
          <w:bCs/>
        </w:rPr>
        <w:t xml:space="preserve"> ‒</w:t>
      </w:r>
      <w:r w:rsidR="008A616F" w:rsidRPr="008A616F">
        <w:rPr>
          <w:rFonts w:ascii="Arial" w:hAnsi="Arial" w:cs="Arial"/>
          <w:b/>
          <w:bCs/>
        </w:rPr>
        <w:t xml:space="preserve"> CONTRÔLE DE L’ORDRE D’UNE REACTION</w:t>
      </w:r>
      <w:r w:rsidR="00806BA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4,</w:t>
      </w:r>
      <w:r w:rsidR="00806BA9">
        <w:rPr>
          <w:rFonts w:ascii="Arial" w:hAnsi="Arial" w:cs="Arial"/>
          <w:b/>
          <w:bCs/>
        </w:rPr>
        <w:t>5 points)</w:t>
      </w:r>
    </w:p>
    <w:p w14:paraId="7A4C921B" w14:textId="77777777" w:rsidR="00806BA9" w:rsidRDefault="00806BA9" w:rsidP="009E05CB">
      <w:pPr>
        <w:spacing w:after="0" w:line="240" w:lineRule="auto"/>
        <w:jc w:val="both"/>
        <w:rPr>
          <w:rFonts w:ascii="Arial" w:hAnsi="Arial" w:cs="Arial"/>
        </w:rPr>
      </w:pPr>
    </w:p>
    <w:p w14:paraId="0332C0B0" w14:textId="1FD59EFE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peroxyde d’hydrogène a pour formule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Une solution aqueuse de peroxyde d’hydrogène est appelée communément « eau oxygénée » et est utilisée comme désinfectant et détachant. En solution aqueuse, le peroxyde d’hydrogène peut se décomposer en eau et en dioxygène.</w:t>
      </w:r>
    </w:p>
    <w:p w14:paraId="61412AF2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1C197A5B" w14:textId="64455135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L’équation de la réaction de cette décomposition, appelée dismutation, s’écrit :</w:t>
      </w:r>
    </w:p>
    <w:p w14:paraId="1CBA50C0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32B889D4" w14:textId="676A496A" w:rsidR="008A616F" w:rsidRDefault="008A616F" w:rsidP="009E05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 (aq)</w:t>
      </w:r>
      <w:r>
        <w:rPr>
          <w:rFonts w:ascii="Arial" w:hAnsi="Arial" w:cs="Arial"/>
        </w:rPr>
        <w:t xml:space="preserve"> → O</w:t>
      </w:r>
      <w:r>
        <w:rPr>
          <w:rFonts w:ascii="Arial" w:hAnsi="Arial" w:cs="Arial"/>
          <w:vertAlign w:val="subscript"/>
        </w:rPr>
        <w:t>2 (g)</w:t>
      </w:r>
      <w:r>
        <w:rPr>
          <w:rFonts w:ascii="Arial" w:hAnsi="Arial" w:cs="Arial"/>
        </w:rPr>
        <w:t xml:space="preserve"> + 2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 xml:space="preserve"> (ℓ)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b/>
        </w:rPr>
        <w:t>équation 1</w:t>
      </w:r>
      <w:r>
        <w:rPr>
          <w:rFonts w:ascii="Arial" w:hAnsi="Arial" w:cs="Arial"/>
        </w:rPr>
        <w:t>)</w:t>
      </w:r>
    </w:p>
    <w:p w14:paraId="733C3280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738F5D84" w14:textId="7E45889D" w:rsidR="008A616F" w:rsidRPr="009E05CB" w:rsidRDefault="008A616F" w:rsidP="009E05CB">
      <w:pPr>
        <w:spacing w:after="0" w:line="240" w:lineRule="auto"/>
        <w:jc w:val="both"/>
        <w:rPr>
          <w:rFonts w:ascii="Arial" w:hAnsi="Arial" w:cs="Arial"/>
          <w:b/>
        </w:rPr>
      </w:pPr>
      <w:r w:rsidRPr="009E05CB">
        <w:rPr>
          <w:rFonts w:ascii="Arial" w:hAnsi="Arial" w:cs="Arial"/>
          <w:b/>
        </w:rPr>
        <w:t>L‘objectif de cet exercice est de vérifier que la dismutation du peroxyde d’hydrogène suit une loi de vitesse d’ordre 1.</w:t>
      </w:r>
    </w:p>
    <w:p w14:paraId="4C96FD40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577E50CC" w14:textId="128CBAF4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dismutation de l’eau oxygénée est lente mais peut être accélérée en utilisant des ions fer</w:t>
      </w:r>
      <w:r w:rsidR="009E05CB">
        <w:rPr>
          <w:rFonts w:ascii="Arial" w:hAnsi="Arial" w:cs="Arial"/>
        </w:rPr>
        <w:t> </w:t>
      </w:r>
      <w:r>
        <w:rPr>
          <w:rFonts w:ascii="Arial" w:hAnsi="Arial" w:cs="Arial"/>
        </w:rPr>
        <w:t>(III), Fe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>. Dans ce cas, la réaction peut être décomposée en deux étapes rapides :</w:t>
      </w:r>
    </w:p>
    <w:p w14:paraId="5FA5C417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541B4FD0" w14:textId="77777777" w:rsidR="00955866" w:rsidRDefault="00955866" w:rsidP="009E05CB">
      <w:pPr>
        <w:spacing w:after="0" w:line="240" w:lineRule="auto"/>
        <w:jc w:val="both"/>
        <w:rPr>
          <w:rFonts w:ascii="Arial" w:hAnsi="Arial" w:cs="Arial"/>
        </w:rPr>
      </w:pPr>
    </w:p>
    <w:p w14:paraId="75608F7A" w14:textId="25DD08F3" w:rsidR="008A616F" w:rsidRDefault="00B758B6" w:rsidP="009E05C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Étape</w:t>
      </w:r>
      <w:r w:rsidR="008A616F">
        <w:rPr>
          <w:rFonts w:ascii="Arial" w:hAnsi="Arial" w:cs="Arial"/>
        </w:rPr>
        <w:t xml:space="preserve"> </w:t>
      </w:r>
      <w:r w:rsidR="008A616F">
        <w:rPr>
          <w:rFonts w:ascii="Calibri" w:hAnsi="Calibri" w:cs="Calibri"/>
        </w:rPr>
        <w:t>①</w:t>
      </w:r>
      <w:r w:rsidR="008A616F">
        <w:rPr>
          <w:rFonts w:ascii="Arial" w:hAnsi="Arial" w:cs="Arial"/>
        </w:rPr>
        <w:tab/>
        <w:t>H</w:t>
      </w:r>
      <w:r w:rsidR="008A616F">
        <w:rPr>
          <w:rFonts w:ascii="Arial" w:hAnsi="Arial" w:cs="Arial"/>
          <w:vertAlign w:val="subscript"/>
        </w:rPr>
        <w:t>2</w:t>
      </w:r>
      <w:r w:rsidR="008A616F">
        <w:rPr>
          <w:rFonts w:ascii="Arial" w:hAnsi="Arial" w:cs="Arial"/>
        </w:rPr>
        <w:t>O</w:t>
      </w:r>
      <w:r w:rsidR="008A616F">
        <w:rPr>
          <w:rFonts w:ascii="Arial" w:hAnsi="Arial" w:cs="Arial"/>
          <w:vertAlign w:val="subscript"/>
        </w:rPr>
        <w:t>2 (aq)</w:t>
      </w:r>
      <w:r w:rsidR="008A616F">
        <w:rPr>
          <w:rFonts w:ascii="Arial" w:hAnsi="Arial" w:cs="Arial"/>
        </w:rPr>
        <w:t xml:space="preserve"> + 2 Fe</w:t>
      </w:r>
      <w:r w:rsidR="008A616F">
        <w:rPr>
          <w:rFonts w:ascii="Arial" w:hAnsi="Arial" w:cs="Arial"/>
          <w:vertAlign w:val="superscript"/>
        </w:rPr>
        <w:t>3+</w:t>
      </w:r>
      <w:r w:rsidR="008A616F">
        <w:rPr>
          <w:rFonts w:ascii="Arial" w:hAnsi="Arial" w:cs="Arial"/>
          <w:vertAlign w:val="subscript"/>
        </w:rPr>
        <w:t>(aq)</w:t>
      </w:r>
      <w:r w:rsidR="008A616F">
        <w:rPr>
          <w:rFonts w:ascii="Arial" w:hAnsi="Arial" w:cs="Arial"/>
        </w:rPr>
        <w:tab/>
        <w:t>→</w:t>
      </w:r>
      <w:r w:rsidR="008A616F">
        <w:rPr>
          <w:rFonts w:ascii="Arial" w:hAnsi="Arial" w:cs="Arial"/>
        </w:rPr>
        <w:tab/>
        <w:t>2 Fe</w:t>
      </w:r>
      <w:r w:rsidR="008A616F">
        <w:rPr>
          <w:rFonts w:ascii="Arial" w:hAnsi="Arial" w:cs="Arial"/>
          <w:vertAlign w:val="superscript"/>
        </w:rPr>
        <w:t>2+</w:t>
      </w:r>
      <w:r w:rsidR="008A616F">
        <w:rPr>
          <w:rFonts w:ascii="Arial" w:hAnsi="Arial" w:cs="Arial"/>
          <w:vertAlign w:val="subscript"/>
        </w:rPr>
        <w:t>(aq)</w:t>
      </w:r>
      <w:r w:rsidR="008A616F">
        <w:rPr>
          <w:rFonts w:ascii="Arial" w:hAnsi="Arial" w:cs="Arial"/>
        </w:rPr>
        <w:t xml:space="preserve"> + O</w:t>
      </w:r>
      <w:r w:rsidR="008A616F">
        <w:rPr>
          <w:rFonts w:ascii="Arial" w:hAnsi="Arial" w:cs="Arial"/>
          <w:vertAlign w:val="subscript"/>
        </w:rPr>
        <w:t>2 (g)</w:t>
      </w:r>
      <w:r w:rsidR="008A616F">
        <w:rPr>
          <w:rFonts w:ascii="Arial" w:hAnsi="Arial" w:cs="Arial"/>
        </w:rPr>
        <w:t xml:space="preserve"> + 2 H</w:t>
      </w:r>
      <w:r w:rsidR="008A616F">
        <w:rPr>
          <w:rFonts w:ascii="Arial" w:hAnsi="Arial" w:cs="Arial"/>
          <w:vertAlign w:val="superscript"/>
        </w:rPr>
        <w:t>+</w:t>
      </w:r>
      <w:r w:rsidR="008A616F">
        <w:rPr>
          <w:rFonts w:ascii="Arial" w:hAnsi="Arial" w:cs="Arial"/>
          <w:vertAlign w:val="subscript"/>
        </w:rPr>
        <w:t>(aq)</w:t>
      </w:r>
    </w:p>
    <w:p w14:paraId="49646CC4" w14:textId="2D1AD13A" w:rsidR="008A616F" w:rsidRDefault="00B758B6" w:rsidP="009E05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Étape</w:t>
      </w:r>
      <w:r w:rsidR="008A616F">
        <w:rPr>
          <w:rFonts w:ascii="Arial" w:hAnsi="Arial" w:cs="Arial"/>
        </w:rPr>
        <w:t xml:space="preserve"> </w:t>
      </w:r>
      <w:r w:rsidR="008A616F">
        <w:rPr>
          <w:rFonts w:ascii="Calibri" w:hAnsi="Calibri" w:cs="Calibri"/>
        </w:rPr>
        <w:t>②</w:t>
      </w:r>
      <w:r w:rsidR="008A616F">
        <w:rPr>
          <w:rFonts w:ascii="Arial" w:hAnsi="Arial" w:cs="Arial"/>
        </w:rPr>
        <w:tab/>
        <w:t>H</w:t>
      </w:r>
      <w:r w:rsidR="008A616F">
        <w:rPr>
          <w:rFonts w:ascii="Arial" w:hAnsi="Arial" w:cs="Arial"/>
          <w:vertAlign w:val="subscript"/>
        </w:rPr>
        <w:t>2</w:t>
      </w:r>
      <w:r w:rsidR="008A616F">
        <w:rPr>
          <w:rFonts w:ascii="Arial" w:hAnsi="Arial" w:cs="Arial"/>
        </w:rPr>
        <w:t>O</w:t>
      </w:r>
      <w:r w:rsidR="008A616F">
        <w:rPr>
          <w:rFonts w:ascii="Arial" w:hAnsi="Arial" w:cs="Arial"/>
          <w:vertAlign w:val="subscript"/>
        </w:rPr>
        <w:t>2 (aq)</w:t>
      </w:r>
      <w:r w:rsidR="008A616F">
        <w:rPr>
          <w:rFonts w:ascii="Arial" w:hAnsi="Arial" w:cs="Arial"/>
        </w:rPr>
        <w:t xml:space="preserve"> + 2 Fe</w:t>
      </w:r>
      <w:r w:rsidR="008A616F">
        <w:rPr>
          <w:rFonts w:ascii="Arial" w:hAnsi="Arial" w:cs="Arial"/>
          <w:vertAlign w:val="superscript"/>
        </w:rPr>
        <w:t>2+</w:t>
      </w:r>
      <w:r w:rsidR="008A616F">
        <w:rPr>
          <w:rFonts w:ascii="Arial" w:hAnsi="Arial" w:cs="Arial"/>
          <w:vertAlign w:val="subscript"/>
        </w:rPr>
        <w:t>(aq)</w:t>
      </w:r>
      <w:r w:rsidR="008A616F">
        <w:rPr>
          <w:rFonts w:ascii="Arial" w:hAnsi="Arial" w:cs="Arial"/>
        </w:rPr>
        <w:t xml:space="preserve"> + 2 H</w:t>
      </w:r>
      <w:r w:rsidR="008A616F">
        <w:rPr>
          <w:rFonts w:ascii="Arial" w:hAnsi="Arial" w:cs="Arial"/>
          <w:vertAlign w:val="superscript"/>
        </w:rPr>
        <w:t>+</w:t>
      </w:r>
      <w:r w:rsidR="008A616F">
        <w:rPr>
          <w:rFonts w:ascii="Arial" w:hAnsi="Arial" w:cs="Arial"/>
          <w:vertAlign w:val="subscript"/>
        </w:rPr>
        <w:t>(aq)</w:t>
      </w:r>
      <w:r w:rsidR="008A616F">
        <w:rPr>
          <w:rFonts w:ascii="Arial" w:hAnsi="Arial" w:cs="Arial"/>
        </w:rPr>
        <w:tab/>
        <w:t>→</w:t>
      </w:r>
      <w:r w:rsidR="008A616F">
        <w:rPr>
          <w:rFonts w:ascii="Arial" w:hAnsi="Arial" w:cs="Arial"/>
        </w:rPr>
        <w:tab/>
        <w:t>2 Fe</w:t>
      </w:r>
      <w:r w:rsidR="008A616F">
        <w:rPr>
          <w:rFonts w:ascii="Arial" w:hAnsi="Arial" w:cs="Arial"/>
          <w:vertAlign w:val="superscript"/>
        </w:rPr>
        <w:t>3+</w:t>
      </w:r>
      <w:r w:rsidR="008A616F">
        <w:rPr>
          <w:rFonts w:ascii="Arial" w:hAnsi="Arial" w:cs="Arial"/>
          <w:vertAlign w:val="subscript"/>
        </w:rPr>
        <w:t>(aq)</w:t>
      </w:r>
      <w:r w:rsidR="008A616F">
        <w:rPr>
          <w:rFonts w:ascii="Arial" w:hAnsi="Arial" w:cs="Arial"/>
        </w:rPr>
        <w:t xml:space="preserve"> + 2 H</w:t>
      </w:r>
      <w:r w:rsidR="008A616F">
        <w:rPr>
          <w:rFonts w:ascii="Arial" w:hAnsi="Arial" w:cs="Arial"/>
          <w:vertAlign w:val="subscript"/>
        </w:rPr>
        <w:t>2</w:t>
      </w:r>
      <w:r w:rsidR="008A616F">
        <w:rPr>
          <w:rFonts w:ascii="Arial" w:hAnsi="Arial" w:cs="Arial"/>
        </w:rPr>
        <w:t xml:space="preserve">O </w:t>
      </w:r>
      <w:r w:rsidR="008A616F">
        <w:rPr>
          <w:rFonts w:ascii="Arial" w:hAnsi="Arial" w:cs="Arial"/>
          <w:vertAlign w:val="subscript"/>
        </w:rPr>
        <w:t>(ℓ)</w:t>
      </w:r>
    </w:p>
    <w:p w14:paraId="162D71EA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36D1CB49" w14:textId="77777777" w:rsidR="00955866" w:rsidRDefault="00955866" w:rsidP="009E05CB">
      <w:pPr>
        <w:spacing w:after="0" w:line="240" w:lineRule="auto"/>
        <w:jc w:val="both"/>
        <w:rPr>
          <w:rFonts w:ascii="Arial" w:hAnsi="Arial" w:cs="Arial"/>
        </w:rPr>
      </w:pPr>
    </w:p>
    <w:p w14:paraId="6877CCC3" w14:textId="731CF7E8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  <w:r w:rsidRPr="008A616F">
        <w:rPr>
          <w:rFonts w:ascii="Arial" w:hAnsi="Arial" w:cs="Arial"/>
          <w:b/>
        </w:rPr>
        <w:t>1.</w:t>
      </w:r>
      <w:r w:rsidRPr="008A616F">
        <w:rPr>
          <w:rFonts w:ascii="Arial" w:hAnsi="Arial" w:cs="Arial"/>
        </w:rPr>
        <w:t xml:space="preserve"> En analysant les étapes </w:t>
      </w:r>
      <w:r w:rsidRPr="008A616F">
        <w:rPr>
          <w:rFonts w:ascii="Cambria Math" w:hAnsi="Cambria Math" w:cs="Cambria Math"/>
        </w:rPr>
        <w:t>①</w:t>
      </w:r>
      <w:r w:rsidRPr="008A616F">
        <w:rPr>
          <w:rFonts w:ascii="Arial" w:hAnsi="Arial" w:cs="Arial"/>
        </w:rPr>
        <w:t xml:space="preserve"> et </w:t>
      </w:r>
      <w:r w:rsidRPr="008A616F">
        <w:rPr>
          <w:rFonts w:ascii="Cambria Math" w:hAnsi="Cambria Math" w:cs="Cambria Math"/>
        </w:rPr>
        <w:t>②</w:t>
      </w:r>
      <w:r w:rsidRPr="008A616F">
        <w:rPr>
          <w:rFonts w:ascii="Arial" w:hAnsi="Arial" w:cs="Arial"/>
        </w:rPr>
        <w:t xml:space="preserve"> de la dismutation du peroxyde d’hydrogène</w:t>
      </w:r>
      <w:r>
        <w:rPr>
          <w:rFonts w:ascii="Arial" w:hAnsi="Arial" w:cs="Arial"/>
        </w:rPr>
        <w:t xml:space="preserve"> en présence d’ions fer, justifier que l’ion fer Fe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 xml:space="preserve"> </w:t>
      </w:r>
      <w:r w:rsidR="009E05CB">
        <w:rPr>
          <w:rFonts w:ascii="Arial" w:hAnsi="Arial" w:cs="Arial"/>
        </w:rPr>
        <w:t>joue un</w:t>
      </w:r>
      <w:r>
        <w:rPr>
          <w:rFonts w:ascii="Arial" w:hAnsi="Arial" w:cs="Arial"/>
        </w:rPr>
        <w:t xml:space="preserve"> rôle de catalyseur.</w:t>
      </w:r>
    </w:p>
    <w:p w14:paraId="265D7C2D" w14:textId="77777777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</w:p>
    <w:p w14:paraId="29707880" w14:textId="77777777" w:rsidR="00955866" w:rsidRDefault="00955866" w:rsidP="009E05CB">
      <w:pPr>
        <w:spacing w:after="0" w:line="240" w:lineRule="auto"/>
        <w:jc w:val="both"/>
        <w:rPr>
          <w:rFonts w:ascii="Arial" w:hAnsi="Arial" w:cs="Arial"/>
        </w:rPr>
      </w:pPr>
    </w:p>
    <w:p w14:paraId="5ACB9D31" w14:textId="77777777" w:rsidR="00955866" w:rsidRDefault="00955866" w:rsidP="009E05CB">
      <w:pPr>
        <w:spacing w:after="0" w:line="240" w:lineRule="auto"/>
        <w:jc w:val="both"/>
        <w:rPr>
          <w:rFonts w:ascii="Arial" w:hAnsi="Arial" w:cs="Arial"/>
        </w:rPr>
      </w:pPr>
    </w:p>
    <w:p w14:paraId="6B719DF7" w14:textId="1EC22F41" w:rsidR="008A616F" w:rsidRDefault="008A616F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suivre l’évolution temporelle de la concentration en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en présence de Fe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 xml:space="preserve">, on réalise le dosage par titrage, à différentes dates </w:t>
      </w:r>
      <w:r>
        <w:rPr>
          <w:rFonts w:ascii="Arial" w:hAnsi="Arial" w:cs="Arial"/>
          <w:i/>
        </w:rPr>
        <w:t>t</w:t>
      </w:r>
      <w:r w:rsidR="009B0BE2">
        <w:rPr>
          <w:rFonts w:ascii="Arial" w:hAnsi="Arial" w:cs="Arial"/>
        </w:rPr>
        <w:t>, d’un échantillon du milieu réactionnel par des ions permanganate MnO</w:t>
      </w:r>
      <w:r w:rsidR="009B0BE2">
        <w:rPr>
          <w:rFonts w:ascii="Arial" w:hAnsi="Arial" w:cs="Arial"/>
          <w:vertAlign w:val="subscript"/>
        </w:rPr>
        <w:t>4</w:t>
      </w:r>
      <w:r w:rsidR="009B0BE2">
        <w:rPr>
          <w:rFonts w:ascii="Arial" w:hAnsi="Arial" w:cs="Arial"/>
          <w:vertAlign w:val="superscript"/>
        </w:rPr>
        <w:t>–</w:t>
      </w:r>
      <w:r w:rsidR="009B0BE2">
        <w:rPr>
          <w:rFonts w:ascii="Arial" w:hAnsi="Arial" w:cs="Arial"/>
        </w:rPr>
        <w:t xml:space="preserve"> d’une solution de permanganate de potassium acidifiée. Chaque dosage par titrage permet de déterminer la concentration [H</w:t>
      </w:r>
      <w:r w:rsidR="009B0BE2">
        <w:rPr>
          <w:rFonts w:ascii="Arial" w:hAnsi="Arial" w:cs="Arial"/>
          <w:vertAlign w:val="subscript"/>
        </w:rPr>
        <w:t>2</w:t>
      </w:r>
      <w:r w:rsidR="009B0BE2">
        <w:rPr>
          <w:rFonts w:ascii="Arial" w:hAnsi="Arial" w:cs="Arial"/>
        </w:rPr>
        <w:t>O</w:t>
      </w:r>
      <w:r w:rsidR="009B0BE2">
        <w:rPr>
          <w:rFonts w:ascii="Arial" w:hAnsi="Arial" w:cs="Arial"/>
          <w:vertAlign w:val="subscript"/>
        </w:rPr>
        <w:t>2</w:t>
      </w:r>
      <w:r w:rsidR="009B0BE2">
        <w:rPr>
          <w:rFonts w:ascii="Arial" w:hAnsi="Arial" w:cs="Arial"/>
        </w:rPr>
        <w:t xml:space="preserve">] en peroxyde d’hydrogène restant à la date </w:t>
      </w:r>
      <w:r w:rsidR="009B0BE2">
        <w:rPr>
          <w:rFonts w:ascii="Arial" w:hAnsi="Arial" w:cs="Arial"/>
          <w:i/>
        </w:rPr>
        <w:t>t</w:t>
      </w:r>
      <w:r w:rsidR="009B0BE2">
        <w:rPr>
          <w:rFonts w:ascii="Arial" w:hAnsi="Arial" w:cs="Arial"/>
        </w:rPr>
        <w:t>.</w:t>
      </w:r>
    </w:p>
    <w:p w14:paraId="1A9B976C" w14:textId="77777777" w:rsidR="009B0BE2" w:rsidRDefault="009B0BE2" w:rsidP="009E05CB">
      <w:pPr>
        <w:spacing w:after="0" w:line="240" w:lineRule="auto"/>
        <w:jc w:val="both"/>
        <w:rPr>
          <w:rFonts w:ascii="Arial" w:hAnsi="Arial" w:cs="Arial"/>
        </w:rPr>
      </w:pPr>
    </w:p>
    <w:p w14:paraId="5E0CD6A9" w14:textId="75135AE7" w:rsidR="009B0BE2" w:rsidRDefault="009B0BE2" w:rsidP="009E05C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L’équati</w:t>
      </w:r>
      <w:r w:rsidR="00AF36B0">
        <w:rPr>
          <w:rFonts w:ascii="Arial" w:hAnsi="Arial" w:cs="Arial"/>
        </w:rPr>
        <w:t>o</w:t>
      </w:r>
      <w:r w:rsidR="00955866">
        <w:rPr>
          <w:rFonts w:ascii="Arial" w:hAnsi="Arial" w:cs="Arial"/>
        </w:rPr>
        <w:t>n de la réaction support du dos</w:t>
      </w:r>
      <w:r>
        <w:rPr>
          <w:rFonts w:ascii="Arial" w:hAnsi="Arial" w:cs="Arial"/>
        </w:rPr>
        <w:t>age est :</w:t>
      </w:r>
    </w:p>
    <w:p w14:paraId="033C8E91" w14:textId="17AC9D4D" w:rsidR="009B0BE2" w:rsidRDefault="009B0BE2" w:rsidP="0095586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 (aq)</w:t>
      </w:r>
      <w:r>
        <w:rPr>
          <w:rFonts w:ascii="Arial" w:hAnsi="Arial" w:cs="Arial"/>
        </w:rPr>
        <w:t xml:space="preserve"> + 2 MnO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  <w:vertAlign w:val="subscript"/>
        </w:rPr>
        <w:t>(aq)</w:t>
      </w:r>
      <w:r>
        <w:rPr>
          <w:rFonts w:ascii="Arial" w:hAnsi="Arial" w:cs="Arial"/>
        </w:rPr>
        <w:t xml:space="preserve"> + 6 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  <w:vertAlign w:val="subscript"/>
        </w:rPr>
        <w:t>(aq)</w:t>
      </w:r>
      <w:r w:rsidR="009E05CB">
        <w:rPr>
          <w:rFonts w:ascii="Arial" w:hAnsi="Arial" w:cs="Arial"/>
        </w:rPr>
        <w:t xml:space="preserve"> → </w:t>
      </w:r>
      <w:r>
        <w:rPr>
          <w:rFonts w:ascii="Arial" w:hAnsi="Arial" w:cs="Arial"/>
        </w:rPr>
        <w:t>5 O</w:t>
      </w:r>
      <w:r>
        <w:rPr>
          <w:rFonts w:ascii="Arial" w:hAnsi="Arial" w:cs="Arial"/>
          <w:vertAlign w:val="subscript"/>
        </w:rPr>
        <w:t>2(g)</w:t>
      </w:r>
      <w:r>
        <w:rPr>
          <w:rFonts w:ascii="Arial" w:hAnsi="Arial" w:cs="Arial"/>
        </w:rPr>
        <w:t xml:space="preserve"> + 2 Mn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  <w:vertAlign w:val="subscript"/>
        </w:rPr>
        <w:t>(aq)</w:t>
      </w:r>
      <w:r>
        <w:rPr>
          <w:rFonts w:ascii="Arial" w:hAnsi="Arial" w:cs="Arial"/>
        </w:rPr>
        <w:t xml:space="preserve"> + 8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(ℓ)</w:t>
      </w:r>
      <w:r w:rsidR="00955866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équation 2</w:t>
      </w:r>
      <w:r>
        <w:rPr>
          <w:rFonts w:ascii="Arial" w:hAnsi="Arial" w:cs="Arial"/>
        </w:rPr>
        <w:t>)</w:t>
      </w:r>
    </w:p>
    <w:p w14:paraId="1BE92057" w14:textId="77777777" w:rsidR="009B0BE2" w:rsidRDefault="009B0BE2" w:rsidP="009E05CB">
      <w:pPr>
        <w:spacing w:after="0" w:line="240" w:lineRule="auto"/>
        <w:jc w:val="both"/>
        <w:rPr>
          <w:rFonts w:ascii="Arial" w:hAnsi="Arial" w:cs="Arial"/>
        </w:rPr>
      </w:pPr>
    </w:p>
    <w:p w14:paraId="36FE402B" w14:textId="77777777" w:rsidR="009B0BE2" w:rsidRDefault="009B0BE2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seule espèce chimique colorée est l’ion permanganate MnO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, rose-violet en solution aqueuse. L’équivalence est donc repérée par un changement de couleur du milieu réactionnel.</w:t>
      </w:r>
    </w:p>
    <w:p w14:paraId="21FB08F6" w14:textId="77777777" w:rsidR="00D753A5" w:rsidRDefault="00D753A5" w:rsidP="009E05C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E05CB" w14:paraId="2B54725E" w14:textId="77777777" w:rsidTr="00955866">
        <w:tc>
          <w:tcPr>
            <w:tcW w:w="9493" w:type="dxa"/>
            <w:tcBorders>
              <w:top w:val="nil"/>
              <w:bottom w:val="nil"/>
              <w:right w:val="nil"/>
            </w:tcBorders>
          </w:tcPr>
          <w:p w14:paraId="047CA120" w14:textId="77777777" w:rsidR="009E05CB" w:rsidRPr="00D753A5" w:rsidRDefault="009E05CB" w:rsidP="009E05CB">
            <w:pPr>
              <w:jc w:val="both"/>
              <w:rPr>
                <w:rFonts w:ascii="Arial" w:hAnsi="Arial" w:cs="Arial"/>
                <w:b/>
              </w:rPr>
            </w:pPr>
            <w:r w:rsidRPr="00D753A5">
              <w:rPr>
                <w:rFonts w:ascii="Arial" w:hAnsi="Arial" w:cs="Arial"/>
                <w:b/>
                <w:u w:val="single"/>
              </w:rPr>
              <w:t>Protocole de suivi cinétique de la décomposition de l’eau oxygénée</w:t>
            </w:r>
            <w:r>
              <w:rPr>
                <w:rFonts w:ascii="Arial" w:hAnsi="Arial" w:cs="Arial"/>
                <w:b/>
              </w:rPr>
              <w:t> :</w:t>
            </w:r>
          </w:p>
          <w:p w14:paraId="3C3E083D" w14:textId="77777777" w:rsidR="009E05CB" w:rsidRDefault="009E05CB" w:rsidP="009E05CB">
            <w:pPr>
              <w:jc w:val="both"/>
              <w:rPr>
                <w:rFonts w:ascii="Arial" w:hAnsi="Arial" w:cs="Arial"/>
              </w:rPr>
            </w:pPr>
          </w:p>
          <w:p w14:paraId="32CEEE2B" w14:textId="77777777" w:rsidR="009E05CB" w:rsidRDefault="009E05CB" w:rsidP="009E05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dispose :</w:t>
            </w:r>
          </w:p>
          <w:p w14:paraId="43C78CF2" w14:textId="77777777" w:rsidR="009E05CB" w:rsidRDefault="009E05CB" w:rsidP="00955866">
            <w:pPr>
              <w:pStyle w:val="Paragraphedeliste"/>
              <w:numPr>
                <w:ilvl w:val="0"/>
                <w:numId w:val="12"/>
              </w:numPr>
              <w:ind w:left="454"/>
              <w:jc w:val="both"/>
              <w:rPr>
                <w:rFonts w:ascii="Arial" w:hAnsi="Arial" w:cs="Arial"/>
              </w:rPr>
            </w:pPr>
            <w:proofErr w:type="gramStart"/>
            <w:r w:rsidRPr="009E05CB">
              <w:rPr>
                <w:rFonts w:ascii="Arial" w:hAnsi="Arial" w:cs="Arial"/>
              </w:rPr>
              <w:t>d’une</w:t>
            </w:r>
            <w:proofErr w:type="gramEnd"/>
            <w:r w:rsidRPr="009E05CB">
              <w:rPr>
                <w:rFonts w:ascii="Arial" w:hAnsi="Arial" w:cs="Arial"/>
              </w:rPr>
              <w:t xml:space="preserve"> solution S</w:t>
            </w:r>
            <w:r w:rsidRPr="009E05CB">
              <w:rPr>
                <w:rFonts w:ascii="Arial" w:hAnsi="Arial" w:cs="Arial"/>
                <w:vertAlign w:val="subscript"/>
              </w:rPr>
              <w:t>0</w:t>
            </w:r>
            <w:r w:rsidRPr="009E05CB">
              <w:rPr>
                <w:rFonts w:ascii="Arial" w:hAnsi="Arial" w:cs="Arial"/>
              </w:rPr>
              <w:t xml:space="preserve"> d’eau oxygénée de concentration en peroxyde d’hydrogène [H</w:t>
            </w:r>
            <w:r w:rsidRPr="009E05CB">
              <w:rPr>
                <w:rFonts w:ascii="Arial" w:hAnsi="Arial" w:cs="Arial"/>
                <w:vertAlign w:val="subscript"/>
              </w:rPr>
              <w:t>2</w:t>
            </w:r>
            <w:r w:rsidRPr="009E05CB">
              <w:rPr>
                <w:rFonts w:ascii="Arial" w:hAnsi="Arial" w:cs="Arial"/>
              </w:rPr>
              <w:t>O</w:t>
            </w:r>
            <w:r w:rsidRPr="009E05CB">
              <w:rPr>
                <w:rFonts w:ascii="Arial" w:hAnsi="Arial" w:cs="Arial"/>
                <w:vertAlign w:val="subscript"/>
              </w:rPr>
              <w:t>2</w:t>
            </w:r>
            <w:r w:rsidRPr="009E05CB">
              <w:rPr>
                <w:rFonts w:ascii="Arial" w:hAnsi="Arial" w:cs="Arial"/>
              </w:rPr>
              <w:t>]</w:t>
            </w:r>
            <w:r w:rsidRPr="009E05CB">
              <w:rPr>
                <w:rFonts w:ascii="Arial" w:hAnsi="Arial" w:cs="Arial"/>
                <w:vertAlign w:val="subscript"/>
              </w:rPr>
              <w:t>0</w:t>
            </w:r>
            <w:r w:rsidRPr="009E05CB">
              <w:rPr>
                <w:rFonts w:ascii="Arial" w:hAnsi="Arial" w:cs="Arial"/>
              </w:rPr>
              <w:t xml:space="preserve"> inconnue ;</w:t>
            </w:r>
          </w:p>
          <w:p w14:paraId="2150F04F" w14:textId="77777777" w:rsidR="009E05CB" w:rsidRDefault="009E05CB" w:rsidP="00955866">
            <w:pPr>
              <w:pStyle w:val="Paragraphedeliste"/>
              <w:numPr>
                <w:ilvl w:val="0"/>
                <w:numId w:val="12"/>
              </w:numPr>
              <w:ind w:left="454"/>
              <w:jc w:val="both"/>
              <w:rPr>
                <w:rFonts w:ascii="Arial" w:hAnsi="Arial" w:cs="Arial"/>
              </w:rPr>
            </w:pPr>
            <w:proofErr w:type="gramStart"/>
            <w:r w:rsidRPr="009E05CB">
              <w:rPr>
                <w:rFonts w:ascii="Arial" w:hAnsi="Arial" w:cs="Arial"/>
              </w:rPr>
              <w:t>d’une</w:t>
            </w:r>
            <w:proofErr w:type="gramEnd"/>
            <w:r w:rsidRPr="009E05CB">
              <w:rPr>
                <w:rFonts w:ascii="Arial" w:hAnsi="Arial" w:cs="Arial"/>
              </w:rPr>
              <w:t xml:space="preserve"> solution de chlorure de fer (III) (Fe</w:t>
            </w:r>
            <w:r w:rsidRPr="009E05CB">
              <w:rPr>
                <w:rFonts w:ascii="Arial" w:hAnsi="Arial" w:cs="Arial"/>
                <w:vertAlign w:val="superscript"/>
              </w:rPr>
              <w:t>3+ </w:t>
            </w:r>
            <w:r w:rsidRPr="009E05CB">
              <w:rPr>
                <w:rFonts w:ascii="Arial" w:hAnsi="Arial" w:cs="Arial"/>
              </w:rPr>
              <w:t>; 3 Cℓ</w:t>
            </w:r>
            <w:r w:rsidRPr="009E05CB">
              <w:rPr>
                <w:rFonts w:ascii="Arial" w:hAnsi="Arial" w:cs="Arial"/>
                <w:vertAlign w:val="superscript"/>
              </w:rPr>
              <w:t xml:space="preserve"> –</w:t>
            </w:r>
            <w:r w:rsidRPr="009E05CB">
              <w:rPr>
                <w:rFonts w:ascii="Arial" w:hAnsi="Arial" w:cs="Arial"/>
              </w:rPr>
              <w:t>) de concentration 0,10 mol</w:t>
            </w:r>
            <w:r w:rsidRPr="009E05CB">
              <w:rPr>
                <w:rFonts w:ascii="Calibri" w:hAnsi="Calibri" w:cs="Calibri"/>
              </w:rPr>
              <w:t>∙</w:t>
            </w:r>
            <w:r w:rsidRPr="009E05CB">
              <w:rPr>
                <w:rFonts w:ascii="Arial" w:hAnsi="Arial" w:cs="Arial"/>
              </w:rPr>
              <w:t>L</w:t>
            </w:r>
            <w:r w:rsidRPr="009E05CB">
              <w:rPr>
                <w:rFonts w:ascii="Arial" w:hAnsi="Arial" w:cs="Arial"/>
                <w:vertAlign w:val="superscript"/>
              </w:rPr>
              <w:t>-1 </w:t>
            </w:r>
            <w:r w:rsidRPr="009E05CB">
              <w:rPr>
                <w:rFonts w:ascii="Arial" w:hAnsi="Arial" w:cs="Arial"/>
              </w:rPr>
              <w:t>;</w:t>
            </w:r>
          </w:p>
          <w:p w14:paraId="180961A7" w14:textId="77777777" w:rsidR="009E05CB" w:rsidRDefault="009E05CB" w:rsidP="00955866">
            <w:pPr>
              <w:pStyle w:val="Paragraphedeliste"/>
              <w:numPr>
                <w:ilvl w:val="0"/>
                <w:numId w:val="12"/>
              </w:numPr>
              <w:ind w:left="454"/>
              <w:jc w:val="both"/>
              <w:rPr>
                <w:rFonts w:ascii="Arial" w:hAnsi="Arial" w:cs="Arial"/>
              </w:rPr>
            </w:pPr>
            <w:proofErr w:type="gramStart"/>
            <w:r w:rsidRPr="009E05CB">
              <w:rPr>
                <w:rFonts w:ascii="Arial" w:hAnsi="Arial" w:cs="Arial"/>
              </w:rPr>
              <w:t>d’une</w:t>
            </w:r>
            <w:proofErr w:type="gramEnd"/>
            <w:r w:rsidRPr="009E05CB">
              <w:rPr>
                <w:rFonts w:ascii="Arial" w:hAnsi="Arial" w:cs="Arial"/>
              </w:rPr>
              <w:t xml:space="preserve"> solution S</w:t>
            </w:r>
            <w:r w:rsidRPr="009E05CB">
              <w:rPr>
                <w:rFonts w:ascii="Arial" w:hAnsi="Arial" w:cs="Arial"/>
                <w:vertAlign w:val="subscript"/>
              </w:rPr>
              <w:t>P</w:t>
            </w:r>
            <w:r w:rsidRPr="009E05CB">
              <w:rPr>
                <w:rFonts w:ascii="Arial" w:hAnsi="Arial" w:cs="Arial"/>
              </w:rPr>
              <w:t xml:space="preserve"> de permanganate de potassium (K</w:t>
            </w:r>
            <w:r w:rsidRPr="009E05CB">
              <w:rPr>
                <w:rFonts w:ascii="Arial" w:hAnsi="Arial" w:cs="Arial"/>
                <w:vertAlign w:val="superscript"/>
              </w:rPr>
              <w:t>+ </w:t>
            </w:r>
            <w:r w:rsidRPr="009E05CB">
              <w:rPr>
                <w:rFonts w:ascii="Arial" w:hAnsi="Arial" w:cs="Arial"/>
              </w:rPr>
              <w:t>; MnO</w:t>
            </w:r>
            <w:r w:rsidRPr="009E05CB">
              <w:rPr>
                <w:rFonts w:ascii="Arial" w:hAnsi="Arial" w:cs="Arial"/>
                <w:vertAlign w:val="subscript"/>
              </w:rPr>
              <w:t>4</w:t>
            </w:r>
            <w:r w:rsidRPr="009E05CB">
              <w:rPr>
                <w:rFonts w:ascii="Arial" w:hAnsi="Arial" w:cs="Arial"/>
                <w:vertAlign w:val="superscript"/>
              </w:rPr>
              <w:t>–</w:t>
            </w:r>
            <w:r w:rsidRPr="009E05CB">
              <w:rPr>
                <w:rFonts w:ascii="Arial" w:hAnsi="Arial" w:cs="Arial"/>
              </w:rPr>
              <w:t xml:space="preserve">) dont la concentration est </w:t>
            </w:r>
            <w:r w:rsidRPr="009E05CB">
              <w:rPr>
                <w:rFonts w:ascii="Arial" w:hAnsi="Arial" w:cs="Arial"/>
                <w:i/>
              </w:rPr>
              <w:t>C</w:t>
            </w:r>
            <w:r w:rsidRPr="009E05CB">
              <w:rPr>
                <w:rFonts w:ascii="Arial" w:hAnsi="Arial" w:cs="Arial"/>
                <w:vertAlign w:val="subscript"/>
              </w:rPr>
              <w:t>P</w:t>
            </w:r>
            <w:r w:rsidRPr="009E05CB">
              <w:rPr>
                <w:rFonts w:ascii="Arial" w:hAnsi="Arial" w:cs="Arial"/>
              </w:rPr>
              <w:t> = 2,00 × 10</w:t>
            </w:r>
            <w:r w:rsidRPr="009E05CB">
              <w:rPr>
                <w:rFonts w:ascii="Arial" w:hAnsi="Arial" w:cs="Arial"/>
                <w:vertAlign w:val="superscript"/>
              </w:rPr>
              <w:t>-2</w:t>
            </w:r>
            <w:r w:rsidRPr="009E05CB">
              <w:rPr>
                <w:rFonts w:ascii="Arial" w:hAnsi="Arial" w:cs="Arial"/>
              </w:rPr>
              <w:t> mol</w:t>
            </w:r>
            <w:r w:rsidRPr="009E05CB">
              <w:rPr>
                <w:rFonts w:ascii="Calibri" w:hAnsi="Calibri" w:cs="Calibri"/>
              </w:rPr>
              <w:t>∙</w:t>
            </w:r>
            <w:r w:rsidRPr="009E05CB">
              <w:rPr>
                <w:rFonts w:ascii="Arial" w:hAnsi="Arial" w:cs="Arial"/>
              </w:rPr>
              <w:t>L</w:t>
            </w:r>
            <w:r w:rsidRPr="009E05CB">
              <w:rPr>
                <w:rFonts w:ascii="Arial" w:hAnsi="Arial" w:cs="Arial"/>
                <w:vertAlign w:val="superscript"/>
              </w:rPr>
              <w:t>-1 </w:t>
            </w:r>
            <w:r w:rsidRPr="009E05CB">
              <w:rPr>
                <w:rFonts w:ascii="Arial" w:hAnsi="Arial" w:cs="Arial"/>
              </w:rPr>
              <w:t>;</w:t>
            </w:r>
          </w:p>
          <w:p w14:paraId="6C43C7EA" w14:textId="3AF3F92B" w:rsidR="009E05CB" w:rsidRPr="009E05CB" w:rsidRDefault="009E05CB" w:rsidP="00955866">
            <w:pPr>
              <w:pStyle w:val="Paragraphedeliste"/>
              <w:numPr>
                <w:ilvl w:val="0"/>
                <w:numId w:val="12"/>
              </w:numPr>
              <w:ind w:left="454"/>
              <w:jc w:val="both"/>
              <w:rPr>
                <w:rFonts w:ascii="Arial" w:hAnsi="Arial" w:cs="Arial"/>
              </w:rPr>
            </w:pPr>
            <w:proofErr w:type="gramStart"/>
            <w:r w:rsidRPr="009E05CB">
              <w:rPr>
                <w:rFonts w:ascii="Arial" w:hAnsi="Arial" w:cs="Arial"/>
              </w:rPr>
              <w:t>d’une</w:t>
            </w:r>
            <w:proofErr w:type="gramEnd"/>
            <w:r w:rsidRPr="009E05CB">
              <w:rPr>
                <w:rFonts w:ascii="Arial" w:hAnsi="Arial" w:cs="Arial"/>
              </w:rPr>
              <w:t xml:space="preserve"> solution d’acide sulfurique.</w:t>
            </w:r>
          </w:p>
          <w:p w14:paraId="7F595FCE" w14:textId="77777777" w:rsidR="009E05CB" w:rsidRDefault="009E05CB" w:rsidP="009E05C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14:paraId="22BD4F29" w14:textId="3CAAB49F" w:rsidR="009E05CB" w:rsidRPr="00D753A5" w:rsidRDefault="009E05CB" w:rsidP="009E05CB">
            <w:pPr>
              <w:jc w:val="both"/>
              <w:rPr>
                <w:rFonts w:ascii="Arial" w:hAnsi="Arial" w:cs="Arial"/>
                <w:b/>
              </w:rPr>
            </w:pPr>
            <w:r w:rsidRPr="00D753A5">
              <w:rPr>
                <w:rFonts w:ascii="Arial" w:hAnsi="Arial" w:cs="Arial"/>
                <w:b/>
              </w:rPr>
              <w:t>Préparation du dispositif de dosage par titrage</w:t>
            </w:r>
          </w:p>
          <w:p w14:paraId="53928BF8" w14:textId="594A7E9A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Remplir la burette graduée de la solution </w:t>
            </w:r>
            <w:proofErr w:type="spellStart"/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</w:rPr>
              <w:t xml:space="preserve"> de permanganate de potassium </w:t>
            </w:r>
            <w:r w:rsidRPr="009E05CB">
              <w:rPr>
                <w:rFonts w:ascii="Arial" w:hAnsi="Arial" w:cs="Arial"/>
              </w:rPr>
              <w:t>(K</w:t>
            </w:r>
            <w:r w:rsidRPr="009E05CB">
              <w:rPr>
                <w:rFonts w:ascii="Arial" w:hAnsi="Arial" w:cs="Arial"/>
                <w:vertAlign w:val="superscript"/>
              </w:rPr>
              <w:t>+ </w:t>
            </w:r>
            <w:r w:rsidRPr="009E05CB">
              <w:rPr>
                <w:rFonts w:ascii="Arial" w:hAnsi="Arial" w:cs="Arial"/>
              </w:rPr>
              <w:t>; MnO</w:t>
            </w:r>
            <w:r w:rsidRPr="009E05CB">
              <w:rPr>
                <w:rFonts w:ascii="Arial" w:hAnsi="Arial" w:cs="Arial"/>
                <w:vertAlign w:val="subscript"/>
              </w:rPr>
              <w:t>4</w:t>
            </w:r>
            <w:r w:rsidRPr="009E05CB">
              <w:rPr>
                <w:rFonts w:ascii="Arial" w:hAnsi="Arial" w:cs="Arial"/>
                <w:vertAlign w:val="superscript"/>
              </w:rPr>
              <w:t>–</w:t>
            </w:r>
            <w:r w:rsidRPr="009E05C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  <w:p w14:paraId="37E697C2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Préparer </w:t>
            </w:r>
            <w:proofErr w:type="gramStart"/>
            <w:r>
              <w:rPr>
                <w:rFonts w:ascii="Arial" w:hAnsi="Arial" w:cs="Arial"/>
              </w:rPr>
              <w:t>sept erlenmeyers contenant</w:t>
            </w:r>
            <w:proofErr w:type="gramEnd"/>
            <w:r>
              <w:rPr>
                <w:rFonts w:ascii="Arial" w:hAnsi="Arial" w:cs="Arial"/>
              </w:rPr>
              <w:t xml:space="preserve"> chacun 40 mL d’eau distillée glacée et 10 mL de solution d’acide sulfurique.</w:t>
            </w:r>
          </w:p>
          <w:p w14:paraId="21E00CB6" w14:textId="2458BA0E" w:rsidR="009E05CB" w:rsidRP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83"/>
              <w:jc w:val="both"/>
              <w:rPr>
                <w:rFonts w:ascii="Arial" w:hAnsi="Arial" w:cs="Arial"/>
              </w:rPr>
            </w:pPr>
            <w:r w:rsidRPr="009E05CB">
              <w:rPr>
                <w:rFonts w:ascii="Arial" w:hAnsi="Arial" w:cs="Arial"/>
              </w:rPr>
              <w:t>Placer ces sept erlenmeyers dans un cristallisoir contenant un mélange d’eau et de glace.</w:t>
            </w:r>
          </w:p>
        </w:tc>
      </w:tr>
    </w:tbl>
    <w:p w14:paraId="6D51AB82" w14:textId="1B95D65C" w:rsidR="00B758B6" w:rsidRDefault="00B758B6" w:rsidP="009E05CB">
      <w:pPr>
        <w:spacing w:after="0" w:line="240" w:lineRule="auto"/>
        <w:jc w:val="both"/>
        <w:rPr>
          <w:rFonts w:ascii="Arial" w:hAnsi="Arial" w:cs="Arial"/>
        </w:rPr>
      </w:pPr>
    </w:p>
    <w:p w14:paraId="5E4D40AA" w14:textId="77777777" w:rsidR="00B758B6" w:rsidRDefault="00B758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94ABF7" w14:textId="77777777" w:rsidR="009B0BE2" w:rsidRDefault="009B0BE2" w:rsidP="009E05C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E05CB" w14:paraId="65E79903" w14:textId="77777777" w:rsidTr="00955866">
        <w:tc>
          <w:tcPr>
            <w:tcW w:w="9493" w:type="dxa"/>
            <w:tcBorders>
              <w:top w:val="nil"/>
              <w:bottom w:val="nil"/>
              <w:right w:val="nil"/>
            </w:tcBorders>
          </w:tcPr>
          <w:p w14:paraId="659FF1B6" w14:textId="6D0F1AD0" w:rsidR="009E05CB" w:rsidRDefault="009E05CB" w:rsidP="009E05C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Préparation du mélange réactionnel</w:t>
            </w:r>
          </w:p>
          <w:p w14:paraId="4408C6E2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un erlenmeyer de 150 mL, verser 95,0 mL de la solution S</w:t>
            </w:r>
            <w:r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 xml:space="preserve"> d’eau oxygénée.</w:t>
            </w:r>
          </w:p>
          <w:p w14:paraId="1FC297EE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Introduire un barreau aimanté. Placer l’ensemble sur un agitateur. Mettre en route l’agitation.</w:t>
            </w:r>
          </w:p>
          <w:p w14:paraId="074B5869" w14:textId="31FB0E5B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Verser rapidement 5 mL de solution de chlorure de fer (III) </w:t>
            </w:r>
            <w:r w:rsidR="00955866" w:rsidRPr="009E05CB">
              <w:rPr>
                <w:rFonts w:ascii="Arial" w:hAnsi="Arial" w:cs="Arial"/>
              </w:rPr>
              <w:t>(Fe</w:t>
            </w:r>
            <w:r w:rsidR="00955866" w:rsidRPr="009E05CB">
              <w:rPr>
                <w:rFonts w:ascii="Arial" w:hAnsi="Arial" w:cs="Arial"/>
                <w:vertAlign w:val="superscript"/>
              </w:rPr>
              <w:t>3+ </w:t>
            </w:r>
            <w:r w:rsidR="00955866" w:rsidRPr="009E05CB">
              <w:rPr>
                <w:rFonts w:ascii="Arial" w:hAnsi="Arial" w:cs="Arial"/>
              </w:rPr>
              <w:t>; 3 Cℓ</w:t>
            </w:r>
            <w:r w:rsidR="00955866" w:rsidRPr="009E05CB">
              <w:rPr>
                <w:rFonts w:ascii="Arial" w:hAnsi="Arial" w:cs="Arial"/>
                <w:vertAlign w:val="superscript"/>
              </w:rPr>
              <w:t xml:space="preserve"> –</w:t>
            </w:r>
            <w:r w:rsidR="00955866" w:rsidRPr="009E05C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et déclencher immédiatement le chronomètre.</w:t>
            </w:r>
          </w:p>
          <w:p w14:paraId="708B6A8A" w14:textId="77777777" w:rsidR="009E05CB" w:rsidRDefault="009E05CB" w:rsidP="009E05CB">
            <w:pPr>
              <w:jc w:val="both"/>
              <w:rPr>
                <w:rFonts w:ascii="Arial" w:hAnsi="Arial" w:cs="Arial"/>
              </w:rPr>
            </w:pPr>
          </w:p>
          <w:p w14:paraId="2F832B64" w14:textId="7A6AEC31" w:rsidR="009E05CB" w:rsidRDefault="00955866" w:rsidP="009E05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Dos</w:t>
            </w:r>
            <w:r w:rsidR="009E05CB">
              <w:rPr>
                <w:rFonts w:ascii="Arial" w:hAnsi="Arial" w:cs="Arial"/>
                <w:b/>
              </w:rPr>
              <w:t>age : détermination de la concentration en H</w:t>
            </w:r>
            <w:r w:rsidR="009E05CB">
              <w:rPr>
                <w:rFonts w:ascii="Arial" w:hAnsi="Arial" w:cs="Arial"/>
                <w:b/>
                <w:vertAlign w:val="subscript"/>
              </w:rPr>
              <w:t>2</w:t>
            </w:r>
            <w:r w:rsidR="009E05CB">
              <w:rPr>
                <w:rFonts w:ascii="Arial" w:hAnsi="Arial" w:cs="Arial"/>
                <w:b/>
              </w:rPr>
              <w:t>O</w:t>
            </w:r>
            <w:r w:rsidR="009E05CB">
              <w:rPr>
                <w:rFonts w:ascii="Arial" w:hAnsi="Arial" w:cs="Arial"/>
                <w:b/>
                <w:vertAlign w:val="subscript"/>
              </w:rPr>
              <w:t>2</w:t>
            </w:r>
            <w:r w:rsidR="009E05CB">
              <w:rPr>
                <w:rFonts w:ascii="Arial" w:hAnsi="Arial" w:cs="Arial"/>
                <w:b/>
              </w:rPr>
              <w:t xml:space="preserve"> à différentes dates </w:t>
            </w:r>
            <w:r w:rsidR="009E05CB">
              <w:rPr>
                <w:rFonts w:ascii="Arial" w:hAnsi="Arial" w:cs="Arial"/>
                <w:b/>
                <w:i/>
              </w:rPr>
              <w:t>t</w:t>
            </w:r>
          </w:p>
          <w:p w14:paraId="56246D86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plus rapidement possible, prélever un volume </w:t>
            </w:r>
            <w:r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vertAlign w:val="subscript"/>
              </w:rPr>
              <w:t>R</w:t>
            </w:r>
            <w:r>
              <w:rPr>
                <w:rFonts w:ascii="Arial" w:hAnsi="Arial" w:cs="Arial"/>
              </w:rPr>
              <w:t xml:space="preserve"> = 10,0 mL du milieu réactionnel.</w:t>
            </w:r>
          </w:p>
          <w:p w14:paraId="4E8A917C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Verser rapidement ce prélèvement dans l’un des sept erlenmeyers.</w:t>
            </w:r>
          </w:p>
          <w:p w14:paraId="34FC19CA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Introduire un barreau aimanté et doser par titrage le peroxyde d’hydrogène présent dans le volume </w:t>
            </w:r>
            <w:r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vertAlign w:val="subscript"/>
              </w:rPr>
              <w:t>R</w:t>
            </w:r>
            <w:r>
              <w:rPr>
                <w:rFonts w:ascii="Arial" w:hAnsi="Arial" w:cs="Arial"/>
              </w:rPr>
              <w:t xml:space="preserve"> à cette date </w:t>
            </w:r>
            <w:r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</w:rPr>
              <w:t xml:space="preserve"> par la solution de permanganate S</w:t>
            </w:r>
            <w:r>
              <w:rPr>
                <w:rFonts w:ascii="Arial" w:hAnsi="Arial" w:cs="Arial"/>
                <w:vertAlign w:val="subscript"/>
              </w:rPr>
              <w:t>P</w:t>
            </w:r>
            <w:r>
              <w:rPr>
                <w:rFonts w:ascii="Arial" w:hAnsi="Arial" w:cs="Arial"/>
              </w:rPr>
              <w:t>.</w:t>
            </w:r>
          </w:p>
          <w:p w14:paraId="467628C2" w14:textId="77777777" w:rsid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Noter </w:t>
            </w:r>
            <w:r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vertAlign w:val="subscript"/>
              </w:rPr>
              <w:t>E</w:t>
            </w:r>
            <w:r>
              <w:rPr>
                <w:rFonts w:ascii="Arial" w:hAnsi="Arial" w:cs="Arial"/>
              </w:rPr>
              <w:t xml:space="preserve"> le volume équivalent alors versé.</w:t>
            </w:r>
          </w:p>
          <w:p w14:paraId="1C8CF033" w14:textId="7CE1B3D8" w:rsidR="009E05CB" w:rsidRPr="009E05CB" w:rsidRDefault="009E05CB" w:rsidP="00955866">
            <w:pPr>
              <w:pStyle w:val="Paragraphedeliste"/>
              <w:numPr>
                <w:ilvl w:val="0"/>
                <w:numId w:val="11"/>
              </w:numPr>
              <w:ind w:left="313" w:hanging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Procéder de la même façon aux dates 4 min, 6 min, 8 min, 12 min, 20 min, 30 min, 40 min et 80 min.</w:t>
            </w:r>
          </w:p>
        </w:tc>
      </w:tr>
    </w:tbl>
    <w:p w14:paraId="5A0C3932" w14:textId="77777777" w:rsidR="00D753A5" w:rsidRPr="009E05CB" w:rsidRDefault="00D753A5" w:rsidP="009E05CB">
      <w:pPr>
        <w:spacing w:after="0" w:line="240" w:lineRule="auto"/>
        <w:jc w:val="both"/>
        <w:rPr>
          <w:rFonts w:ascii="Arial" w:hAnsi="Arial" w:cs="Arial"/>
        </w:rPr>
      </w:pPr>
    </w:p>
    <w:p w14:paraId="0B7CCE53" w14:textId="77777777" w:rsidR="00D753A5" w:rsidRDefault="00D753A5" w:rsidP="009E05CB">
      <w:pPr>
        <w:spacing w:after="0" w:line="240" w:lineRule="auto"/>
        <w:jc w:val="both"/>
        <w:rPr>
          <w:rFonts w:ascii="Arial" w:hAnsi="Arial" w:cs="Arial"/>
        </w:rPr>
      </w:pPr>
    </w:p>
    <w:p w14:paraId="2E4B134F" w14:textId="663980AB" w:rsidR="00D753A5" w:rsidRPr="00955866" w:rsidRDefault="00D753A5" w:rsidP="00955866">
      <w:pPr>
        <w:spacing w:after="0" w:line="240" w:lineRule="auto"/>
        <w:jc w:val="both"/>
        <w:rPr>
          <w:rFonts w:ascii="Arial" w:hAnsi="Arial" w:cs="Arial"/>
          <w:b/>
        </w:rPr>
      </w:pPr>
      <w:r w:rsidRPr="00955866">
        <w:rPr>
          <w:rFonts w:ascii="Arial" w:hAnsi="Arial" w:cs="Arial"/>
          <w:b/>
        </w:rPr>
        <w:t>Résultats expérimentaux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65"/>
        <w:gridCol w:w="866"/>
        <w:gridCol w:w="866"/>
        <w:gridCol w:w="865"/>
        <w:gridCol w:w="866"/>
        <w:gridCol w:w="866"/>
        <w:gridCol w:w="865"/>
        <w:gridCol w:w="866"/>
        <w:gridCol w:w="866"/>
      </w:tblGrid>
      <w:tr w:rsidR="00D753A5" w14:paraId="24E60199" w14:textId="77777777" w:rsidTr="0017010E">
        <w:trPr>
          <w:trHeight w:val="567"/>
        </w:trPr>
        <w:tc>
          <w:tcPr>
            <w:tcW w:w="1271" w:type="dxa"/>
            <w:vAlign w:val="center"/>
          </w:tcPr>
          <w:p w14:paraId="21437E19" w14:textId="766B9E5E" w:rsidR="00D753A5" w:rsidRPr="00B758B6" w:rsidRDefault="00D753A5" w:rsidP="009E05CB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B758B6">
              <w:rPr>
                <w:rFonts w:ascii="Arial" w:hAnsi="Arial" w:cs="Arial"/>
                <w:bCs/>
                <w:i/>
              </w:rPr>
              <w:t>t</w:t>
            </w:r>
            <w:proofErr w:type="gramEnd"/>
            <w:r w:rsidRPr="00B758B6">
              <w:rPr>
                <w:rFonts w:ascii="Arial" w:hAnsi="Arial" w:cs="Arial"/>
                <w:bCs/>
              </w:rPr>
              <w:t xml:space="preserve"> (min)</w:t>
            </w:r>
          </w:p>
        </w:tc>
        <w:tc>
          <w:tcPr>
            <w:tcW w:w="865" w:type="dxa"/>
            <w:vAlign w:val="center"/>
          </w:tcPr>
          <w:p w14:paraId="354948BE" w14:textId="525D40FB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 w:rsidRPr="00D753A5">
              <w:rPr>
                <w:rFonts w:ascii="Arial" w:hAnsi="Arial" w:cs="Arial"/>
              </w:rPr>
              <w:t>1,75</w:t>
            </w:r>
          </w:p>
        </w:tc>
        <w:tc>
          <w:tcPr>
            <w:tcW w:w="866" w:type="dxa"/>
            <w:vAlign w:val="center"/>
          </w:tcPr>
          <w:p w14:paraId="57787BB0" w14:textId="19A2262C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6" w:type="dxa"/>
            <w:vAlign w:val="center"/>
          </w:tcPr>
          <w:p w14:paraId="442DE089" w14:textId="7C9F2076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5" w:type="dxa"/>
            <w:vAlign w:val="center"/>
          </w:tcPr>
          <w:p w14:paraId="2F0BBA31" w14:textId="7FAD5972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6" w:type="dxa"/>
            <w:vAlign w:val="center"/>
          </w:tcPr>
          <w:p w14:paraId="6FF2BC25" w14:textId="384D5556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6" w:type="dxa"/>
            <w:vAlign w:val="center"/>
          </w:tcPr>
          <w:p w14:paraId="4E28C92F" w14:textId="09CFA5E1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5" w:type="dxa"/>
            <w:vAlign w:val="center"/>
          </w:tcPr>
          <w:p w14:paraId="0DBADFBA" w14:textId="7E1B4FD9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6" w:type="dxa"/>
            <w:vAlign w:val="center"/>
          </w:tcPr>
          <w:p w14:paraId="55259944" w14:textId="78D330FD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7010E">
              <w:rPr>
                <w:rFonts w:ascii="Arial" w:hAnsi="Arial" w:cs="Arial"/>
              </w:rPr>
              <w:t>,0</w:t>
            </w:r>
          </w:p>
        </w:tc>
        <w:tc>
          <w:tcPr>
            <w:tcW w:w="866" w:type="dxa"/>
            <w:vAlign w:val="center"/>
          </w:tcPr>
          <w:p w14:paraId="1E75B679" w14:textId="590B4F2C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17010E">
              <w:rPr>
                <w:rFonts w:ascii="Arial" w:hAnsi="Arial" w:cs="Arial"/>
              </w:rPr>
              <w:t>,0</w:t>
            </w:r>
          </w:p>
        </w:tc>
      </w:tr>
      <w:tr w:rsidR="00D753A5" w14:paraId="20954719" w14:textId="77777777" w:rsidTr="0017010E">
        <w:trPr>
          <w:trHeight w:val="567"/>
        </w:trPr>
        <w:tc>
          <w:tcPr>
            <w:tcW w:w="1271" w:type="dxa"/>
            <w:vAlign w:val="center"/>
          </w:tcPr>
          <w:p w14:paraId="26D8028E" w14:textId="3D9BA837" w:rsidR="00D753A5" w:rsidRPr="00B758B6" w:rsidRDefault="00D753A5" w:rsidP="009E05CB">
            <w:pPr>
              <w:jc w:val="center"/>
              <w:rPr>
                <w:rFonts w:ascii="Arial" w:hAnsi="Arial" w:cs="Arial"/>
                <w:bCs/>
              </w:rPr>
            </w:pPr>
            <w:r w:rsidRPr="00B758B6">
              <w:rPr>
                <w:rFonts w:ascii="Arial" w:hAnsi="Arial" w:cs="Arial"/>
                <w:bCs/>
                <w:i/>
              </w:rPr>
              <w:t>V</w:t>
            </w:r>
            <w:r w:rsidRPr="00B758B6">
              <w:rPr>
                <w:rFonts w:ascii="Arial" w:hAnsi="Arial" w:cs="Arial"/>
                <w:bCs/>
                <w:vertAlign w:val="subscript"/>
              </w:rPr>
              <w:t>E</w:t>
            </w:r>
            <w:r w:rsidRPr="00B758B6">
              <w:rPr>
                <w:rFonts w:ascii="Arial" w:hAnsi="Arial" w:cs="Arial"/>
                <w:bCs/>
              </w:rPr>
              <w:t xml:space="preserve"> (mL)</w:t>
            </w:r>
          </w:p>
        </w:tc>
        <w:tc>
          <w:tcPr>
            <w:tcW w:w="865" w:type="dxa"/>
            <w:vAlign w:val="center"/>
          </w:tcPr>
          <w:p w14:paraId="47E6CF5D" w14:textId="59AECB64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  <w:tc>
          <w:tcPr>
            <w:tcW w:w="866" w:type="dxa"/>
            <w:vAlign w:val="center"/>
          </w:tcPr>
          <w:p w14:paraId="7CADEB16" w14:textId="21BD9F82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66" w:type="dxa"/>
            <w:vAlign w:val="center"/>
          </w:tcPr>
          <w:p w14:paraId="3720B60F" w14:textId="029D1273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865" w:type="dxa"/>
            <w:vAlign w:val="center"/>
          </w:tcPr>
          <w:p w14:paraId="7CF53C15" w14:textId="5ED97F8C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  <w:tc>
          <w:tcPr>
            <w:tcW w:w="866" w:type="dxa"/>
            <w:vAlign w:val="center"/>
          </w:tcPr>
          <w:p w14:paraId="670EDB47" w14:textId="58FEF96C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  <w:tc>
          <w:tcPr>
            <w:tcW w:w="866" w:type="dxa"/>
            <w:vAlign w:val="center"/>
          </w:tcPr>
          <w:p w14:paraId="3FFF1121" w14:textId="48B393BA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865" w:type="dxa"/>
            <w:vAlign w:val="center"/>
          </w:tcPr>
          <w:p w14:paraId="3740ECC4" w14:textId="2C372B33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866" w:type="dxa"/>
            <w:vAlign w:val="center"/>
          </w:tcPr>
          <w:p w14:paraId="50C7E382" w14:textId="5B811B31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866" w:type="dxa"/>
            <w:vAlign w:val="center"/>
          </w:tcPr>
          <w:p w14:paraId="1F6FD6EF" w14:textId="02FD1493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753A5" w14:paraId="73C2A3C8" w14:textId="77777777" w:rsidTr="0017010E">
        <w:trPr>
          <w:trHeight w:val="567"/>
        </w:trPr>
        <w:tc>
          <w:tcPr>
            <w:tcW w:w="1271" w:type="dxa"/>
            <w:vAlign w:val="center"/>
          </w:tcPr>
          <w:p w14:paraId="39A9B803" w14:textId="77777777" w:rsidR="00D753A5" w:rsidRPr="00B758B6" w:rsidRDefault="00D753A5" w:rsidP="009E05CB">
            <w:pPr>
              <w:jc w:val="center"/>
              <w:rPr>
                <w:rFonts w:ascii="Arial" w:hAnsi="Arial" w:cs="Arial"/>
                <w:bCs/>
              </w:rPr>
            </w:pPr>
            <w:r w:rsidRPr="00B758B6">
              <w:rPr>
                <w:rFonts w:ascii="Arial" w:hAnsi="Arial" w:cs="Arial"/>
                <w:bCs/>
              </w:rPr>
              <w:t>[H</w:t>
            </w:r>
            <w:r w:rsidRPr="00B758B6">
              <w:rPr>
                <w:rFonts w:ascii="Arial" w:hAnsi="Arial" w:cs="Arial"/>
                <w:bCs/>
                <w:vertAlign w:val="subscript"/>
              </w:rPr>
              <w:t>2</w:t>
            </w:r>
            <w:r w:rsidRPr="00B758B6">
              <w:rPr>
                <w:rFonts w:ascii="Arial" w:hAnsi="Arial" w:cs="Arial"/>
                <w:bCs/>
              </w:rPr>
              <w:t>O</w:t>
            </w:r>
            <w:r w:rsidRPr="00B758B6">
              <w:rPr>
                <w:rFonts w:ascii="Arial" w:hAnsi="Arial" w:cs="Arial"/>
                <w:bCs/>
                <w:vertAlign w:val="subscript"/>
              </w:rPr>
              <w:t>2</w:t>
            </w:r>
            <w:r w:rsidRPr="00B758B6">
              <w:rPr>
                <w:rFonts w:ascii="Arial" w:hAnsi="Arial" w:cs="Arial"/>
                <w:bCs/>
              </w:rPr>
              <w:t>]</w:t>
            </w:r>
          </w:p>
          <w:p w14:paraId="19D54D5F" w14:textId="565C674B" w:rsidR="00D753A5" w:rsidRPr="00B758B6" w:rsidRDefault="00D753A5" w:rsidP="009E05CB">
            <w:pPr>
              <w:jc w:val="center"/>
              <w:rPr>
                <w:rFonts w:ascii="Arial" w:hAnsi="Arial" w:cs="Arial"/>
                <w:bCs/>
              </w:rPr>
            </w:pPr>
            <w:r w:rsidRPr="00B758B6">
              <w:rPr>
                <w:rFonts w:ascii="Arial" w:hAnsi="Arial" w:cs="Arial"/>
                <w:bCs/>
              </w:rPr>
              <w:t>(</w:t>
            </w:r>
            <w:proofErr w:type="gramStart"/>
            <w:r w:rsidRPr="00B758B6">
              <w:rPr>
                <w:rFonts w:ascii="Arial" w:hAnsi="Arial" w:cs="Arial"/>
                <w:bCs/>
              </w:rPr>
              <w:t>mmol</w:t>
            </w:r>
            <w:proofErr w:type="gramEnd"/>
            <w:r w:rsidRPr="00B758B6">
              <w:rPr>
                <w:rFonts w:ascii="Calibri" w:hAnsi="Calibri" w:cs="Calibri"/>
                <w:bCs/>
              </w:rPr>
              <w:t>∙</w:t>
            </w:r>
            <w:r w:rsidRPr="00B758B6">
              <w:rPr>
                <w:rFonts w:ascii="Arial" w:hAnsi="Arial" w:cs="Arial"/>
                <w:bCs/>
              </w:rPr>
              <w:t>L</w:t>
            </w:r>
            <w:r w:rsidRPr="00B758B6">
              <w:rPr>
                <w:rFonts w:ascii="Arial" w:hAnsi="Arial" w:cs="Arial"/>
                <w:bCs/>
                <w:vertAlign w:val="superscript"/>
              </w:rPr>
              <w:t>-1</w:t>
            </w:r>
            <w:r w:rsidRPr="00B758B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65" w:type="dxa"/>
            <w:vAlign w:val="center"/>
          </w:tcPr>
          <w:p w14:paraId="2705ED56" w14:textId="420B02D9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866" w:type="dxa"/>
            <w:vAlign w:val="center"/>
          </w:tcPr>
          <w:p w14:paraId="296EBC15" w14:textId="3B79288F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866" w:type="dxa"/>
            <w:vAlign w:val="center"/>
          </w:tcPr>
          <w:p w14:paraId="1832422E" w14:textId="3215CBBE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865" w:type="dxa"/>
            <w:vAlign w:val="center"/>
          </w:tcPr>
          <w:p w14:paraId="5B219C4D" w14:textId="0936110B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</w:t>
            </w:r>
          </w:p>
        </w:tc>
        <w:tc>
          <w:tcPr>
            <w:tcW w:w="866" w:type="dxa"/>
            <w:vAlign w:val="center"/>
          </w:tcPr>
          <w:p w14:paraId="33761BA7" w14:textId="77777777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</w:tcPr>
          <w:p w14:paraId="550F9BCD" w14:textId="7A387E60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</w:t>
            </w:r>
          </w:p>
        </w:tc>
        <w:tc>
          <w:tcPr>
            <w:tcW w:w="865" w:type="dxa"/>
            <w:vAlign w:val="center"/>
          </w:tcPr>
          <w:p w14:paraId="52D8E1E9" w14:textId="64552F98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866" w:type="dxa"/>
            <w:vAlign w:val="center"/>
          </w:tcPr>
          <w:p w14:paraId="655F8AB3" w14:textId="330FCAD6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</w:t>
            </w:r>
          </w:p>
        </w:tc>
        <w:tc>
          <w:tcPr>
            <w:tcW w:w="866" w:type="dxa"/>
            <w:vAlign w:val="center"/>
          </w:tcPr>
          <w:p w14:paraId="1D58D3D0" w14:textId="7FE54DCD" w:rsidR="00D753A5" w:rsidRPr="00D753A5" w:rsidRDefault="00D753A5" w:rsidP="009E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</w:tbl>
    <w:p w14:paraId="00A1C964" w14:textId="77777777" w:rsidR="00D753A5" w:rsidRDefault="00D753A5" w:rsidP="009E05CB">
      <w:pPr>
        <w:spacing w:after="0" w:line="240" w:lineRule="auto"/>
        <w:jc w:val="both"/>
        <w:rPr>
          <w:rFonts w:ascii="Arial" w:hAnsi="Arial" w:cs="Arial"/>
          <w:b/>
        </w:rPr>
      </w:pPr>
    </w:p>
    <w:p w14:paraId="1AE6BE6A" w14:textId="5F278CD5" w:rsidR="00D753A5" w:rsidRPr="00D753A5" w:rsidRDefault="00955866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D753A5" w:rsidRPr="00D753A5">
        <w:rPr>
          <w:rFonts w:ascii="Arial" w:hAnsi="Arial" w:cs="Arial"/>
          <w:b/>
        </w:rPr>
        <w:t xml:space="preserve">. </w:t>
      </w:r>
      <w:r w:rsidR="00D753A5">
        <w:rPr>
          <w:rFonts w:ascii="Arial" w:hAnsi="Arial" w:cs="Arial"/>
        </w:rPr>
        <w:t>Identifier les deux facteurs cinétiques mis en œuvre pour stopper la réaction de dismutation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équation 1</w:t>
      </w:r>
      <w:r>
        <w:rPr>
          <w:rFonts w:ascii="Arial" w:hAnsi="Arial" w:cs="Arial"/>
        </w:rPr>
        <w:t>)</w:t>
      </w:r>
      <w:r w:rsidR="00385E74">
        <w:rPr>
          <w:rFonts w:ascii="Arial" w:hAnsi="Arial" w:cs="Arial"/>
        </w:rPr>
        <w:t xml:space="preserve"> le temps du </w:t>
      </w:r>
      <w:r>
        <w:rPr>
          <w:rFonts w:ascii="Arial" w:hAnsi="Arial" w:cs="Arial"/>
        </w:rPr>
        <w:t>dos</w:t>
      </w:r>
      <w:r w:rsidR="00385E74">
        <w:rPr>
          <w:rFonts w:ascii="Arial" w:hAnsi="Arial" w:cs="Arial"/>
        </w:rPr>
        <w:t>age.</w:t>
      </w:r>
    </w:p>
    <w:p w14:paraId="2123B59C" w14:textId="77777777" w:rsidR="00D753A5" w:rsidRDefault="00D753A5" w:rsidP="009E05CB">
      <w:pPr>
        <w:spacing w:after="0" w:line="240" w:lineRule="auto"/>
        <w:jc w:val="both"/>
        <w:rPr>
          <w:rFonts w:ascii="Arial" w:hAnsi="Arial" w:cs="Arial"/>
          <w:b/>
        </w:rPr>
      </w:pPr>
    </w:p>
    <w:p w14:paraId="39FE1261" w14:textId="6C664DC4" w:rsidR="00955866" w:rsidRDefault="00955866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Indiquer le changement de couleur observé à l’équivalence (</w:t>
      </w:r>
      <w:r>
        <w:rPr>
          <w:rFonts w:ascii="Arial" w:hAnsi="Arial" w:cs="Arial"/>
          <w:b/>
        </w:rPr>
        <w:t>équation 2</w:t>
      </w:r>
      <w:r>
        <w:rPr>
          <w:rFonts w:ascii="Arial" w:hAnsi="Arial" w:cs="Arial"/>
        </w:rPr>
        <w:t>).</w:t>
      </w:r>
    </w:p>
    <w:p w14:paraId="2BC24D18" w14:textId="77777777" w:rsidR="00955866" w:rsidRPr="00955866" w:rsidRDefault="00955866" w:rsidP="009E05CB">
      <w:pPr>
        <w:spacing w:after="0" w:line="240" w:lineRule="auto"/>
        <w:jc w:val="both"/>
        <w:rPr>
          <w:rFonts w:ascii="Arial" w:hAnsi="Arial" w:cs="Arial"/>
        </w:rPr>
      </w:pPr>
    </w:p>
    <w:p w14:paraId="4E09109C" w14:textId="64B696CD" w:rsidR="00385E74" w:rsidRDefault="00955866" w:rsidP="009E0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385E74">
        <w:rPr>
          <w:rFonts w:ascii="Arial" w:hAnsi="Arial" w:cs="Arial"/>
          <w:b/>
        </w:rPr>
        <w:t>.</w:t>
      </w:r>
      <w:r w:rsidR="00385E74">
        <w:rPr>
          <w:rFonts w:ascii="Arial" w:hAnsi="Arial" w:cs="Arial"/>
        </w:rPr>
        <w:t xml:space="preserve"> </w:t>
      </w:r>
      <w:r w:rsidR="00F7033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partir de l’équation de la réaction support du dosage, </w:t>
      </w:r>
      <w:r>
        <w:rPr>
          <w:rFonts w:ascii="Arial" w:hAnsi="Arial" w:cs="Arial"/>
          <w:b/>
        </w:rPr>
        <w:t>équation 2</w:t>
      </w:r>
      <w:r>
        <w:rPr>
          <w:rFonts w:ascii="Arial" w:hAnsi="Arial" w:cs="Arial"/>
        </w:rPr>
        <w:t xml:space="preserve">, et de </w:t>
      </w:r>
      <w:r w:rsidR="00385E74">
        <w:rPr>
          <w:rFonts w:ascii="Arial" w:hAnsi="Arial" w:cs="Arial"/>
        </w:rPr>
        <w:t>la définition de l’équivalence</w:t>
      </w:r>
      <w:r>
        <w:rPr>
          <w:rFonts w:ascii="Arial" w:hAnsi="Arial" w:cs="Arial"/>
        </w:rPr>
        <w:t>, établir</w:t>
      </w:r>
      <w:r w:rsidR="00385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385E74">
        <w:rPr>
          <w:rFonts w:ascii="Arial" w:hAnsi="Arial" w:cs="Arial"/>
        </w:rPr>
        <w:t>la concentration en quantité de matière du peroxyde d’hydrogène </w:t>
      </w:r>
      <w:r>
        <w:rPr>
          <w:rFonts w:ascii="Arial" w:hAnsi="Arial" w:cs="Arial"/>
        </w:rPr>
        <w:t xml:space="preserve">est donnée par la relation suivante </w:t>
      </w:r>
      <w:r w:rsidR="00385E74">
        <w:rPr>
          <w:rFonts w:ascii="Arial" w:hAnsi="Arial" w:cs="Arial"/>
        </w:rPr>
        <w:t>:</w:t>
      </w:r>
    </w:p>
    <w:p w14:paraId="29FCC791" w14:textId="1A45F631" w:rsidR="00385E74" w:rsidRPr="00385E74" w:rsidRDefault="00B13A3A" w:rsidP="009E05CB">
      <w:pPr>
        <w:spacing w:after="0" w:line="240" w:lineRule="auto"/>
        <w:jc w:val="both"/>
        <w:rPr>
          <w:rFonts w:ascii="Arial" w:hAnsi="Arial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5×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P</m:t>
                  </m:r>
                </m:sub>
              </m:sSub>
              <m:r>
                <w:rPr>
                  <w:rFonts w:ascii="Cambria Math" w:hAnsi="Cambria Math" w:cs="Arial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2×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R</m:t>
                  </m:r>
                </m:sub>
              </m:sSub>
            </m:den>
          </m:f>
        </m:oMath>
      </m:oMathPara>
    </w:p>
    <w:p w14:paraId="4E7F655A" w14:textId="77777777" w:rsidR="00AF36B0" w:rsidRDefault="00AF36B0" w:rsidP="009E05CB">
      <w:pPr>
        <w:jc w:val="both"/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</w:pPr>
    </w:p>
    <w:p w14:paraId="6DA55253" w14:textId="4E972074" w:rsidR="008F2FEE" w:rsidRDefault="00385E74" w:rsidP="009E05CB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5.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Calculer la valeur de [H</w:t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O</w:t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] manquante à la date </w:t>
      </w:r>
      <w:r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t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= 12 min dans le tableau des résultats expérimentaux.</w:t>
      </w:r>
    </w:p>
    <w:p w14:paraId="21E92F2A" w14:textId="77777777" w:rsidR="0017010E" w:rsidRDefault="0017010E" w:rsidP="009E05CB">
      <w:pPr>
        <w:jc w:val="both"/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</w:pPr>
    </w:p>
    <w:p w14:paraId="0D6F7EB0" w14:textId="64A6D887" w:rsidR="00385E74" w:rsidRDefault="00385E74" w:rsidP="009E05CB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6.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</w:t>
      </w:r>
      <w:proofErr w:type="spellStart"/>
      <w:r w:rsidR="00955866">
        <w:rPr>
          <w:rFonts w:ascii="Arial" w:eastAsia="Times New Roman" w:hAnsi="Arial" w:cs="Arial"/>
          <w:bCs/>
          <w:iCs/>
          <w:color w:val="000000" w:themeColor="text1"/>
          <w:lang w:eastAsia="fr-FR"/>
        </w:rPr>
        <w:t>A</w:t>
      </w:r>
      <w:proofErr w:type="spellEnd"/>
      <w:r w:rsidR="00955866"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partir de 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la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définition  de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la vitesse de disparition de l’eau oxygénée</w:t>
      </w:r>
      <w:r w:rsidR="00955866">
        <w:rPr>
          <w:rFonts w:ascii="Arial" w:eastAsia="Times New Roman" w:hAnsi="Arial" w:cs="Arial"/>
          <w:bCs/>
          <w:iCs/>
          <w:color w:val="000000" w:themeColor="text1"/>
          <w:lang w:eastAsia="fr-FR"/>
        </w:rPr>
        <w:t>, et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en supposant que la dismutation du peroxyde d’hydrogène suit une loi cinétique d’ordre 1, retrouver la relation suivante :</w:t>
      </w:r>
    </w:p>
    <w:p w14:paraId="3DCDA2BD" w14:textId="3D66B4F6" w:rsidR="00385E74" w:rsidRPr="00385E74" w:rsidRDefault="00B13A3A" w:rsidP="009E05CB">
      <w:pPr>
        <w:jc w:val="both"/>
        <w:rPr>
          <w:rFonts w:ascii="Arial" w:eastAsia="Times New Roman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d</m:t>
              </m:r>
              <m:r>
                <w:rPr>
                  <w:rFonts w:ascii="Cambria Math" w:hAnsi="Cambria Math" w:cs="Arial"/>
                </w:rPr>
                <m:t>t</m:t>
              </m:r>
            </m:den>
          </m:f>
          <m:r>
            <w:rPr>
              <w:rFonts w:ascii="Cambria Math" w:hAnsi="Cambria Math" w:cs="Arial"/>
            </w:rPr>
            <m:t>=-k×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</m:sSub>
            </m:e>
          </m:d>
        </m:oMath>
      </m:oMathPara>
    </w:p>
    <w:p w14:paraId="14A1AE23" w14:textId="77777777" w:rsidR="0017010E" w:rsidRDefault="0017010E" w:rsidP="009E05CB">
      <w:pPr>
        <w:jc w:val="both"/>
        <w:rPr>
          <w:rFonts w:ascii="Arial" w:eastAsia="Times New Roman" w:hAnsi="Arial" w:cs="Arial"/>
        </w:rPr>
      </w:pPr>
    </w:p>
    <w:p w14:paraId="3F0E40F2" w14:textId="0B94BE99" w:rsidR="00385E74" w:rsidRDefault="00955866" w:rsidP="009E05CB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 </w:t>
      </w:r>
      <w:r w:rsidR="00385E74">
        <w:rPr>
          <w:rFonts w:ascii="Arial" w:eastAsia="Times New Roman" w:hAnsi="Arial" w:cs="Arial"/>
        </w:rPr>
        <w:t>relation</w:t>
      </w:r>
      <w:r>
        <w:rPr>
          <w:rFonts w:ascii="Arial" w:eastAsia="Times New Roman" w:hAnsi="Arial" w:cs="Arial"/>
        </w:rPr>
        <w:t xml:space="preserve"> ci-dessus, </w:t>
      </w:r>
      <w:r>
        <w:rPr>
          <w:rFonts w:ascii="Arial" w:eastAsia="Times New Roman" w:hAnsi="Arial" w:cs="Arial"/>
          <w:b/>
        </w:rPr>
        <w:t>question 6</w:t>
      </w:r>
      <w:r>
        <w:rPr>
          <w:rFonts w:ascii="Arial" w:eastAsia="Times New Roman" w:hAnsi="Arial" w:cs="Arial"/>
        </w:rPr>
        <w:t>,</w:t>
      </w:r>
      <w:r w:rsidR="00385E74">
        <w:rPr>
          <w:rFonts w:ascii="Arial" w:eastAsia="Times New Roman" w:hAnsi="Arial" w:cs="Arial"/>
        </w:rPr>
        <w:t xml:space="preserve"> est une équation différentielle qui admet des solutions de la forme :</w:t>
      </w:r>
    </w:p>
    <w:p w14:paraId="6D50CD4A" w14:textId="2CABE2FB" w:rsidR="00385E74" w:rsidRDefault="00385E74" w:rsidP="009E05CB">
      <w:pPr>
        <w:jc w:val="center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[H</w:t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O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](</w:t>
      </w:r>
      <w:proofErr w:type="gramEnd"/>
      <w:r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t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) = </w:t>
      </w:r>
      <w:r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B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× e</w:t>
      </w:r>
      <w:r>
        <w:rPr>
          <w:rFonts w:ascii="Arial" w:eastAsia="Times New Roman" w:hAnsi="Arial" w:cs="Arial"/>
          <w:bCs/>
          <w:iCs/>
          <w:color w:val="000000" w:themeColor="text1"/>
          <w:vertAlign w:val="superscript"/>
          <w:lang w:eastAsia="fr-FR"/>
        </w:rPr>
        <w:t xml:space="preserve"> – </w:t>
      </w:r>
      <w:r>
        <w:rPr>
          <w:rFonts w:ascii="Arial" w:eastAsia="Times New Roman" w:hAnsi="Arial" w:cs="Arial"/>
          <w:bCs/>
          <w:i/>
          <w:iCs/>
          <w:color w:val="000000" w:themeColor="text1"/>
          <w:vertAlign w:val="superscript"/>
          <w:lang w:eastAsia="fr-FR"/>
        </w:rPr>
        <w:t>k</w:t>
      </w:r>
      <w:r>
        <w:rPr>
          <w:rFonts w:ascii="Arial" w:eastAsia="Times New Roman" w:hAnsi="Arial" w:cs="Arial"/>
          <w:bCs/>
          <w:iCs/>
          <w:color w:val="000000" w:themeColor="text1"/>
          <w:vertAlign w:val="superscript"/>
          <w:lang w:eastAsia="fr-FR"/>
        </w:rPr>
        <w:t xml:space="preserve"> × </w:t>
      </w:r>
      <w:r>
        <w:rPr>
          <w:rFonts w:ascii="Arial" w:eastAsia="Times New Roman" w:hAnsi="Arial" w:cs="Arial"/>
          <w:bCs/>
          <w:i/>
          <w:iCs/>
          <w:color w:val="000000" w:themeColor="text1"/>
          <w:vertAlign w:val="superscript"/>
          <w:lang w:eastAsia="fr-FR"/>
        </w:rPr>
        <w:t>t</w:t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ab/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ab/>
      </w:r>
      <w:r w:rsidRPr="00385E74">
        <w:rPr>
          <w:rFonts w:ascii="Arial" w:eastAsia="Times New Roman" w:hAnsi="Arial" w:cs="Arial"/>
          <w:bCs/>
          <w:iCs/>
          <w:color w:val="000000" w:themeColor="text1"/>
          <w:lang w:eastAsia="fr-FR"/>
        </w:rPr>
        <w:t>(</w:t>
      </w:r>
      <w:r w:rsidRPr="001C0D3E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relation 1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)</w:t>
      </w:r>
    </w:p>
    <w:p w14:paraId="14C1E548" w14:textId="6D85A530" w:rsidR="00F70339" w:rsidRDefault="001C0D3E" w:rsidP="00F70339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7.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Donner la signification physique de </w:t>
      </w:r>
      <w:r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B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.</w:t>
      </w:r>
      <w:r w:rsidR="00F70339">
        <w:rPr>
          <w:rFonts w:ascii="Arial" w:eastAsia="Times New Roman" w:hAnsi="Arial" w:cs="Arial"/>
          <w:bCs/>
          <w:iCs/>
          <w:color w:val="000000" w:themeColor="text1"/>
          <w:lang w:eastAsia="fr-FR"/>
        </w:rPr>
        <w:br w:type="page"/>
      </w:r>
    </w:p>
    <w:p w14:paraId="143AAC49" w14:textId="33EE25D9" w:rsidR="001C0D3E" w:rsidRDefault="00F70339" w:rsidP="009E05CB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lastRenderedPageBreak/>
        <w:t>À</w:t>
      </w:r>
      <w:r w:rsidR="001C0D3E"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partir des résultats expérimentaux obtenus, on a tracé les deux graphiques ci-après (</w:t>
      </w:r>
      <w:r w:rsidR="001C0D3E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figure 1</w:t>
      </w:r>
      <w:r w:rsidR="001C0D3E"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 et </w:t>
      </w:r>
      <w:r w:rsidR="001C0D3E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figure 2</w:t>
      </w:r>
      <w:r w:rsidR="001C0D3E">
        <w:rPr>
          <w:rFonts w:ascii="Arial" w:eastAsia="Times New Roman" w:hAnsi="Arial" w:cs="Arial"/>
          <w:bCs/>
          <w:iCs/>
          <w:color w:val="000000" w:themeColor="text1"/>
          <w:lang w:eastAsia="fr-FR"/>
        </w:rPr>
        <w:t>).</w:t>
      </w:r>
    </w:p>
    <w:p w14:paraId="54EEB8DB" w14:textId="66E93F10" w:rsidR="000E0E78" w:rsidRPr="000E0E78" w:rsidRDefault="000E0E78" w:rsidP="009E05CB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[H</w:t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O</w:t>
      </w:r>
      <w:r>
        <w:rPr>
          <w:rFonts w:ascii="Arial" w:eastAsia="Times New Roman" w:hAnsi="Arial" w:cs="Arial"/>
          <w:bCs/>
          <w:iCs/>
          <w:color w:val="000000" w:themeColor="text1"/>
          <w:vertAlign w:val="subscript"/>
          <w:lang w:eastAsia="fr-F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] (en mmol</w:t>
      </w:r>
      <w:r>
        <w:rPr>
          <w:rFonts w:ascii="Calibri" w:eastAsia="Times New Roman" w:hAnsi="Calibri" w:cs="Calibri"/>
          <w:bCs/>
          <w:iCs/>
          <w:color w:val="000000" w:themeColor="text1"/>
          <w:lang w:eastAsia="fr-FR"/>
        </w:rPr>
        <w:t>∙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L</w:t>
      </w:r>
      <w:r>
        <w:rPr>
          <w:rFonts w:ascii="Arial" w:eastAsia="Times New Roman" w:hAnsi="Arial" w:cs="Arial"/>
          <w:bCs/>
          <w:iCs/>
          <w:color w:val="000000" w:themeColor="text1"/>
          <w:vertAlign w:val="superscript"/>
          <w:lang w:eastAsia="fr-FR"/>
        </w:rPr>
        <w:t>-1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)</w:t>
      </w:r>
    </w:p>
    <w:p w14:paraId="3687A738" w14:textId="2E97ADE3" w:rsidR="000E0E78" w:rsidRDefault="000E0E78" w:rsidP="009E05CB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BF6AE04" wp14:editId="11436B0A">
            <wp:extent cx="5901070" cy="2743200"/>
            <wp:effectExtent l="0" t="0" r="4445" b="0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44C28A" w14:textId="5952BEF4" w:rsidR="001C0D3E" w:rsidRDefault="001C0D3E" w:rsidP="009E05CB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</w:pP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 xml:space="preserve">Figure 1 – </w:t>
      </w:r>
      <w:r w:rsidR="00B13A3A"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Évolution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 xml:space="preserve"> temporelle de la concentration de H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vertAlign w:val="subscript"/>
          <w:lang w:eastAsia="fr-FR"/>
        </w:rPr>
        <w:t>2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O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vertAlign w:val="subscript"/>
          <w:lang w:eastAsia="fr-FR"/>
        </w:rPr>
        <w:t>2</w:t>
      </w:r>
    </w:p>
    <w:p w14:paraId="09C3327B" w14:textId="77777777" w:rsidR="0017010E" w:rsidRPr="0017010E" w:rsidRDefault="0017010E" w:rsidP="009E05CB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</w:pPr>
    </w:p>
    <w:p w14:paraId="79C603BF" w14:textId="3669275E" w:rsidR="00AF36B0" w:rsidRPr="00AF36B0" w:rsidRDefault="00B13A3A" w:rsidP="009E05CB">
      <w:pPr>
        <w:spacing w:after="0" w:line="240" w:lineRule="auto"/>
        <w:ind w:right="7229"/>
        <w:jc w:val="center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m:oMathPara>
        <m:oMath>
          <m:func>
            <m:funcPr>
              <m:ctrlPr>
                <w:rPr>
                  <w:rFonts w:ascii="Cambria Math" w:eastAsia="Times New Roman" w:hAnsi="Cambria Math" w:cs="Arial"/>
                  <w:bCs/>
                  <w:i/>
                  <w:iCs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lang w:eastAsia="fr-FR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Arial"/>
                      <w:bCs/>
                      <w:i/>
                      <w:iCs/>
                      <w:color w:val="000000" w:themeColor="text1"/>
                      <w:lang w:eastAsia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bCs/>
                          <w:i/>
                          <w:iCs/>
                          <w:color w:val="000000" w:themeColor="text1"/>
                          <w:lang w:eastAsia="fr-FR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Arial"/>
                              <w:bCs/>
                              <w:i/>
                              <w:iCs/>
                              <w:color w:val="000000" w:themeColor="text1"/>
                              <w:lang w:eastAsia="fr-F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Cs/>
                                  <w:color w:val="000000" w:themeColor="text1"/>
                                  <w:lang w:eastAsia="fr-F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color w:val="000000" w:themeColor="text1"/>
                                  <w:lang w:eastAsia="fr-FR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color w:val="000000" w:themeColor="text1"/>
                                  <w:lang w:eastAsia="fr-FR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Cs/>
                                  <w:color w:val="000000" w:themeColor="text1"/>
                                  <w:lang w:eastAsia="fr-F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color w:val="000000" w:themeColor="text1"/>
                                  <w:lang w:eastAsia="fr-FR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color w:val="000000" w:themeColor="text1"/>
                                  <w:lang w:eastAsia="fr-FR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 w:themeColor="text1"/>
                          <w:lang w:eastAsia="fr-FR"/>
                        </w:rPr>
                        <m:t>c°</m:t>
                      </m:r>
                    </m:den>
                  </m:f>
                </m:e>
              </m:d>
            </m:e>
          </m:func>
        </m:oMath>
      </m:oMathPara>
    </w:p>
    <w:p w14:paraId="1F7F4B88" w14:textId="4B8FA061" w:rsidR="001C0D3E" w:rsidRDefault="00AF36B0" w:rsidP="009E05CB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noProof/>
          <w:lang w:eastAsia="fr-FR"/>
        </w:rPr>
        <w:drawing>
          <wp:inline distT="0" distB="0" distL="0" distR="0" wp14:anchorId="600893B6" wp14:editId="45F77D07">
            <wp:extent cx="5762847" cy="2743200"/>
            <wp:effectExtent l="0" t="0" r="0" b="0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18175BF" w14:textId="65D10E76" w:rsidR="001C0D3E" w:rsidRPr="000E0E78" w:rsidRDefault="001C0D3E" w:rsidP="009E05CB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</w:pP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 xml:space="preserve">Figure 2 – </w:t>
      </w:r>
      <w:r w:rsidR="00F70339"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Évolution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 xml:space="preserve"> temporelle de </w:t>
      </w:r>
      <m:oMath>
        <m:func>
          <m:func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lang w:eastAsia="fr-FR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 w:cs="Arial"/>
                <w:color w:val="000000" w:themeColor="text1"/>
                <w:lang w:eastAsia="fr-FR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Arial"/>
                    <w:b/>
                    <w:bCs/>
                    <w:i/>
                    <w:iCs/>
                    <w:color w:val="000000" w:themeColor="text1"/>
                    <w:lang w:eastAsia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000000" w:themeColor="text1"/>
                        <w:lang w:eastAsia="fr-FR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iCs/>
                            <w:color w:val="000000" w:themeColor="text1"/>
                            <w:lang w:eastAsia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/>
                                <w:bCs/>
                                <w:iCs/>
                                <w:color w:val="000000" w:themeColor="text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lang w:eastAsia="fr-FR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lang w:eastAsia="fr-FR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/>
                                <w:bCs/>
                                <w:iCs/>
                                <w:color w:val="000000" w:themeColor="text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lang w:eastAsia="fr-FR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lang w:eastAsia="fr-FR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lang w:eastAsia="fr-FR"/>
                      </w:rPr>
                      <m:t>c°</m:t>
                    </m:r>
                  </m:den>
                </m:f>
              </m:e>
            </m:d>
          </m:e>
        </m:func>
      </m:oMath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 xml:space="preserve"> avec [H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vertAlign w:val="subscript"/>
          <w:lang w:eastAsia="fr-FR"/>
        </w:rPr>
        <w:t>2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O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vertAlign w:val="subscript"/>
          <w:lang w:eastAsia="fr-FR"/>
        </w:rPr>
        <w:t>2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] en mol</w:t>
      </w:r>
      <w:r w:rsidRPr="000E0E78">
        <w:rPr>
          <w:rFonts w:ascii="Calibri" w:eastAsia="Times New Roman" w:hAnsi="Calibri" w:cs="Calibri"/>
          <w:b/>
          <w:bCs/>
          <w:iCs/>
          <w:color w:val="000000" w:themeColor="text1"/>
          <w:lang w:eastAsia="fr-FR"/>
        </w:rPr>
        <w:t>∙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L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vertAlign w:val="superscript"/>
          <w:lang w:eastAsia="fr-FR"/>
        </w:rPr>
        <w:t>-1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 xml:space="preserve"> et </w:t>
      </w:r>
      <w:r w:rsidRPr="000E0E78">
        <w:rPr>
          <w:rFonts w:ascii="Arial" w:eastAsia="Times New Roman" w:hAnsi="Arial" w:cs="Arial"/>
          <w:b/>
          <w:bCs/>
          <w:i/>
          <w:iCs/>
          <w:color w:val="000000" w:themeColor="text1"/>
          <w:lang w:eastAsia="fr-FR"/>
        </w:rPr>
        <w:t>c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° = 1 mol</w:t>
      </w:r>
      <w:r w:rsidRPr="000E0E78">
        <w:rPr>
          <w:rFonts w:ascii="Calibri" w:eastAsia="Times New Roman" w:hAnsi="Calibri" w:cs="Calibri"/>
          <w:b/>
          <w:bCs/>
          <w:iCs/>
          <w:color w:val="000000" w:themeColor="text1"/>
          <w:lang w:eastAsia="fr-FR"/>
        </w:rPr>
        <w:t>∙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L</w:t>
      </w:r>
      <w:r w:rsidRPr="000E0E78">
        <w:rPr>
          <w:rFonts w:ascii="Arial" w:eastAsia="Times New Roman" w:hAnsi="Arial" w:cs="Arial"/>
          <w:b/>
          <w:bCs/>
          <w:iCs/>
          <w:color w:val="000000" w:themeColor="text1"/>
          <w:vertAlign w:val="superscript"/>
          <w:lang w:eastAsia="fr-FR"/>
        </w:rPr>
        <w:t>-1</w:t>
      </w:r>
    </w:p>
    <w:p w14:paraId="668DCA35" w14:textId="77777777" w:rsidR="0017010E" w:rsidRDefault="0017010E" w:rsidP="009E05CB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</w:p>
    <w:p w14:paraId="601EC01A" w14:textId="7F52F4FC" w:rsidR="001C0D3E" w:rsidRDefault="001C0D3E" w:rsidP="009E05CB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 xml:space="preserve">Compte tenu des propriétés de la fonction logarithme népérien, il est possible d’écrire à partir de la </w:t>
      </w:r>
      <w:r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relation 1</w:t>
      </w:r>
      <w:r>
        <w:rPr>
          <w:rFonts w:ascii="Arial" w:eastAsia="Times New Roman" w:hAnsi="Arial" w:cs="Arial"/>
          <w:bCs/>
          <w:iCs/>
          <w:color w:val="000000" w:themeColor="text1"/>
          <w:lang w:eastAsia="fr-FR"/>
        </w:rPr>
        <w:t> :</w:t>
      </w:r>
    </w:p>
    <w:p w14:paraId="7AAB2B64" w14:textId="069A4343" w:rsidR="001C0D3E" w:rsidRDefault="00B13A3A" w:rsidP="009E05CB">
      <w:pPr>
        <w:jc w:val="center"/>
        <w:rPr>
          <w:rFonts w:ascii="Arial" w:hAnsi="Arial" w:cs="Arial"/>
        </w:rPr>
      </w:pPr>
      <m:oMath>
        <m:func>
          <m:funcPr>
            <m:ctrlPr>
              <w:rPr>
                <w:rFonts w:ascii="Cambria Math" w:eastAsia="Times New Roman" w:hAnsi="Cambria Math" w:cs="Arial"/>
                <w:bCs/>
                <w:i/>
                <w:iCs/>
                <w:color w:val="000000" w:themeColor="text1"/>
                <w:sz w:val="28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lang w:eastAsia="fr-FR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Arial"/>
                    <w:bCs/>
                    <w:i/>
                    <w:iCs/>
                    <w:color w:val="000000" w:themeColor="text1"/>
                    <w:sz w:val="28"/>
                    <w:lang w:eastAsia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iCs/>
                        <w:color w:val="000000" w:themeColor="text1"/>
                        <w:sz w:val="28"/>
                        <w:lang w:eastAsia="fr-FR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Arial"/>
                            <w:bCs/>
                            <w:i/>
                            <w:iCs/>
                            <w:color w:val="000000" w:themeColor="text1"/>
                            <w:sz w:val="28"/>
                            <w:lang w:eastAsia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/>
                                <w:iCs/>
                                <w:color w:val="000000" w:themeColor="text1"/>
                                <w:sz w:val="28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sz w:val="28"/>
                                <w:lang w:eastAsia="fr-FR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sz w:val="28"/>
                                <w:lang w:eastAsia="fr-FR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bCs/>
                                <w:iCs/>
                                <w:color w:val="000000" w:themeColor="text1"/>
                                <w:sz w:val="28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sz w:val="28"/>
                                <w:lang w:eastAsia="fr-FR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sz w:val="28"/>
                                <w:lang w:eastAsia="fr-FR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8"/>
                        <w:lang w:eastAsia="fr-FR"/>
                      </w:rPr>
                      <m:t>c°</m:t>
                    </m:r>
                  </m:den>
                </m:f>
              </m:e>
            </m:d>
          </m:e>
        </m:func>
        <m:r>
          <w:rPr>
            <w:rFonts w:ascii="Cambria Math" w:eastAsia="Times New Roman" w:hAnsi="Cambria Math" w:cs="Arial"/>
            <w:color w:val="000000" w:themeColor="text1"/>
            <w:sz w:val="28"/>
            <w:lang w:eastAsia="fr-FR"/>
          </w:rPr>
          <m:t>=</m:t>
        </m:r>
        <m:func>
          <m:funcPr>
            <m:ctrlPr>
              <w:rPr>
                <w:rFonts w:ascii="Cambria Math" w:eastAsia="Times New Roman" w:hAnsi="Cambria Math" w:cs="Arial"/>
                <w:bCs/>
                <w:i/>
                <w:iCs/>
                <w:color w:val="000000" w:themeColor="text1"/>
                <w:sz w:val="28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lang w:eastAsia="fr-FR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Arial"/>
                    <w:bCs/>
                    <w:i/>
                    <w:iCs/>
                    <w:color w:val="000000" w:themeColor="text1"/>
                    <w:sz w:val="28"/>
                    <w:lang w:eastAsia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iCs/>
                        <w:color w:val="000000" w:themeColor="text1"/>
                        <w:sz w:val="28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8"/>
                        <w:lang w:eastAsia="fr-FR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8"/>
                        <w:lang w:eastAsia="fr-FR"/>
                      </w:rPr>
                      <m:t>c°</m:t>
                    </m:r>
                  </m:den>
                </m:f>
              </m:e>
            </m:d>
          </m:e>
        </m:func>
        <m:r>
          <w:rPr>
            <w:rFonts w:ascii="Cambria Math" w:eastAsia="Times New Roman" w:hAnsi="Cambria Math" w:cs="Arial"/>
            <w:color w:val="000000" w:themeColor="text1"/>
            <w:sz w:val="28"/>
            <w:lang w:eastAsia="fr-FR"/>
          </w:rPr>
          <m:t>-k×t</m:t>
        </m:r>
      </m:oMath>
      <w:r w:rsidR="001C0D3E">
        <w:rPr>
          <w:rFonts w:ascii="Arial" w:eastAsia="Times New Roman" w:hAnsi="Arial" w:cs="Arial"/>
          <w:bCs/>
          <w:iCs/>
          <w:color w:val="000000" w:themeColor="text1"/>
          <w:lang w:eastAsia="fr-FR"/>
        </w:rPr>
        <w:tab/>
      </w:r>
      <w:r w:rsidR="001C0D3E">
        <w:rPr>
          <w:rFonts w:ascii="Arial" w:eastAsia="Times New Roman" w:hAnsi="Arial" w:cs="Arial"/>
          <w:bCs/>
          <w:iCs/>
          <w:color w:val="000000" w:themeColor="text1"/>
          <w:lang w:eastAsia="fr-FR"/>
        </w:rPr>
        <w:tab/>
      </w:r>
      <w:r w:rsidR="001C0D3E" w:rsidRPr="001C0D3E">
        <w:rPr>
          <w:rFonts w:ascii="Arial" w:hAnsi="Arial" w:cs="Arial"/>
        </w:rPr>
        <w:t>(</w:t>
      </w:r>
      <w:r w:rsidR="001C0D3E" w:rsidRPr="001C0D3E">
        <w:rPr>
          <w:rFonts w:ascii="Arial" w:hAnsi="Arial" w:cs="Arial"/>
          <w:b/>
        </w:rPr>
        <w:t>relation 2</w:t>
      </w:r>
      <w:r w:rsidR="001C0D3E" w:rsidRPr="001C0D3E">
        <w:rPr>
          <w:rFonts w:ascii="Arial" w:hAnsi="Arial" w:cs="Arial"/>
        </w:rPr>
        <w:t>)</w:t>
      </w:r>
    </w:p>
    <w:p w14:paraId="39B8229B" w14:textId="6025E282" w:rsidR="001C0D3E" w:rsidRDefault="001C0D3E" w:rsidP="00F703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En s’appuyant sur la </w:t>
      </w:r>
      <w:r>
        <w:rPr>
          <w:rFonts w:ascii="Arial" w:hAnsi="Arial" w:cs="Arial"/>
          <w:b/>
        </w:rPr>
        <w:t>relation 2</w:t>
      </w:r>
      <w:r>
        <w:rPr>
          <w:rFonts w:ascii="Arial" w:hAnsi="Arial" w:cs="Arial"/>
        </w:rPr>
        <w:t xml:space="preserve"> et le graphique de la </w:t>
      </w:r>
      <w:r>
        <w:rPr>
          <w:rFonts w:ascii="Arial" w:hAnsi="Arial" w:cs="Arial"/>
          <w:b/>
        </w:rPr>
        <w:t>figure 2</w:t>
      </w:r>
      <w:r>
        <w:rPr>
          <w:rFonts w:ascii="Arial" w:hAnsi="Arial" w:cs="Arial"/>
        </w:rPr>
        <w:t>, montrer que l’hypothèse selon laquelle la dismutation du peroxyde d’hydrogène suit un</w:t>
      </w:r>
      <w:r w:rsidR="0095586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loi cinétique d’ordre 1 est bien valide. En déduire la valeur de la constante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>.</w:t>
      </w:r>
      <w:r w:rsidR="00F70339">
        <w:rPr>
          <w:rFonts w:ascii="Arial" w:hAnsi="Arial" w:cs="Arial"/>
        </w:rPr>
        <w:br w:type="page"/>
      </w:r>
    </w:p>
    <w:p w14:paraId="0EBF5662" w14:textId="51DF5ADB" w:rsidR="001C0D3E" w:rsidRDefault="001C0D3E" w:rsidP="009E05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9.</w:t>
      </w:r>
      <w:r>
        <w:rPr>
          <w:rFonts w:ascii="Arial" w:hAnsi="Arial" w:cs="Arial"/>
        </w:rPr>
        <w:t xml:space="preserve"> Définir puis déterminer le temps de demi-réaction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vertAlign w:val="subscript"/>
        </w:rPr>
        <w:t>1/2</w:t>
      </w:r>
      <w:r>
        <w:rPr>
          <w:rFonts w:ascii="Arial" w:hAnsi="Arial" w:cs="Arial"/>
        </w:rPr>
        <w:t xml:space="preserve"> de cette réaction de dismutation à l’aide de la </w:t>
      </w:r>
      <w:r>
        <w:rPr>
          <w:rFonts w:ascii="Arial" w:hAnsi="Arial" w:cs="Arial"/>
          <w:b/>
        </w:rPr>
        <w:t>figure 1</w:t>
      </w:r>
      <w:r>
        <w:rPr>
          <w:rFonts w:ascii="Arial" w:hAnsi="Arial" w:cs="Arial"/>
        </w:rPr>
        <w:t>.</w:t>
      </w:r>
    </w:p>
    <w:p w14:paraId="0464D9D7" w14:textId="77777777" w:rsidR="001C0D3E" w:rsidRDefault="001C0D3E" w:rsidP="009E05CB">
      <w:pPr>
        <w:jc w:val="both"/>
        <w:rPr>
          <w:rFonts w:ascii="Arial" w:hAnsi="Arial" w:cs="Arial"/>
        </w:rPr>
      </w:pPr>
    </w:p>
    <w:p w14:paraId="32FC6B9C" w14:textId="77777777" w:rsidR="001C0D3E" w:rsidRDefault="001C0D3E" w:rsidP="009E0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une réaction qui suit une cinétique d’ordre 1, on peut montrer que le temps de demi-réaction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vertAlign w:val="subscript"/>
        </w:rPr>
        <w:t>1/2</w:t>
      </w:r>
      <w:r>
        <w:rPr>
          <w:rFonts w:ascii="Arial" w:hAnsi="Arial" w:cs="Arial"/>
        </w:rPr>
        <w:t xml:space="preserve"> est indépendant de la concentration initiale et est relié à la grandeur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par la relation suivante :</w:t>
      </w:r>
    </w:p>
    <w:p w14:paraId="2DEAA9C3" w14:textId="77777777" w:rsidR="001C0D3E" w:rsidRDefault="001C0D3E" w:rsidP="009E05C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k</w:t>
      </w:r>
      <w:proofErr w:type="gramEnd"/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vertAlign w:val="subscript"/>
        </w:rPr>
        <w:t>1/2</w:t>
      </w:r>
      <w:r>
        <w:rPr>
          <w:rFonts w:ascii="Arial" w:hAnsi="Arial" w:cs="Arial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lang w:eastAsia="fr-FR"/>
          </w:rPr>
          <m:t>ln⁡</m:t>
        </m:r>
        <m:r>
          <w:rPr>
            <w:rFonts w:ascii="Cambria Math" w:eastAsiaTheme="minorEastAsia" w:hAnsi="Cambria Math" w:cs="Arial"/>
            <w:color w:val="000000" w:themeColor="text1"/>
            <w:sz w:val="24"/>
            <w:lang w:eastAsia="fr-FR"/>
          </w:rPr>
          <m:t>(2)</m:t>
        </m:r>
      </m:oMath>
    </w:p>
    <w:p w14:paraId="44906975" w14:textId="6DBB9F68" w:rsidR="00806BA9" w:rsidRPr="001C0D3E" w:rsidRDefault="001C0D3E" w:rsidP="009E05CB">
      <w:pPr>
        <w:jc w:val="both"/>
        <w:rPr>
          <w:rFonts w:ascii="Arial" w:eastAsia="Times New Roman" w:hAnsi="Arial" w:cs="Arial"/>
          <w:bCs/>
          <w:iCs/>
          <w:color w:val="000000" w:themeColor="text1"/>
          <w:lang w:eastAsia="fr-FR"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Préciser si la valeur de la grandeur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varie si la concentration initiale [H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]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diminue.</w:t>
      </w:r>
    </w:p>
    <w:sectPr w:rsidR="00806BA9" w:rsidRPr="001C0D3E" w:rsidSect="00F70339">
      <w:pgSz w:w="11906" w:h="16838"/>
      <w:pgMar w:top="851" w:right="851" w:bottom="851" w:left="851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5951" w14:textId="77777777" w:rsidR="005E6B0E" w:rsidRDefault="005E6B0E" w:rsidP="00884EE6">
      <w:pPr>
        <w:spacing w:after="0" w:line="240" w:lineRule="auto"/>
      </w:pPr>
      <w:r>
        <w:separator/>
      </w:r>
    </w:p>
  </w:endnote>
  <w:endnote w:type="continuationSeparator" w:id="0">
    <w:p w14:paraId="6234B179" w14:textId="77777777" w:rsidR="005E6B0E" w:rsidRDefault="005E6B0E" w:rsidP="0088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1210" w14:textId="77777777" w:rsidR="005E6B0E" w:rsidRDefault="005E6B0E" w:rsidP="00884EE6">
      <w:pPr>
        <w:spacing w:after="0" w:line="240" w:lineRule="auto"/>
      </w:pPr>
      <w:r>
        <w:separator/>
      </w:r>
    </w:p>
  </w:footnote>
  <w:footnote w:type="continuationSeparator" w:id="0">
    <w:p w14:paraId="500A6410" w14:textId="77777777" w:rsidR="005E6B0E" w:rsidRDefault="005E6B0E" w:rsidP="0088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DEA"/>
    <w:multiLevelType w:val="hybridMultilevel"/>
    <w:tmpl w:val="B610F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CF8"/>
    <w:multiLevelType w:val="hybridMultilevel"/>
    <w:tmpl w:val="1DCEB77E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5327C83"/>
    <w:multiLevelType w:val="hybridMultilevel"/>
    <w:tmpl w:val="834200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220"/>
    <w:multiLevelType w:val="multilevel"/>
    <w:tmpl w:val="06F07B9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94EE1"/>
    <w:multiLevelType w:val="hybridMultilevel"/>
    <w:tmpl w:val="9C16A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43E"/>
    <w:multiLevelType w:val="hybridMultilevel"/>
    <w:tmpl w:val="563CC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0BB5"/>
    <w:multiLevelType w:val="multilevel"/>
    <w:tmpl w:val="99C0F0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802F2F"/>
    <w:multiLevelType w:val="multilevel"/>
    <w:tmpl w:val="97AE873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1057DE"/>
    <w:multiLevelType w:val="hybridMultilevel"/>
    <w:tmpl w:val="A9665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74864"/>
    <w:multiLevelType w:val="hybridMultilevel"/>
    <w:tmpl w:val="C292052A"/>
    <w:lvl w:ilvl="0" w:tplc="98846A48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26038"/>
    <w:multiLevelType w:val="hybridMultilevel"/>
    <w:tmpl w:val="F8BCD1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48B9"/>
    <w:multiLevelType w:val="hybridMultilevel"/>
    <w:tmpl w:val="5218C0C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1830">
    <w:abstractNumId w:val="6"/>
  </w:num>
  <w:num w:numId="2" w16cid:durableId="1765374049">
    <w:abstractNumId w:val="3"/>
  </w:num>
  <w:num w:numId="3" w16cid:durableId="1980264010">
    <w:abstractNumId w:val="7"/>
  </w:num>
  <w:num w:numId="4" w16cid:durableId="1921593220">
    <w:abstractNumId w:val="2"/>
  </w:num>
  <w:num w:numId="5" w16cid:durableId="35665595">
    <w:abstractNumId w:val="8"/>
  </w:num>
  <w:num w:numId="6" w16cid:durableId="532114797">
    <w:abstractNumId w:val="0"/>
  </w:num>
  <w:num w:numId="7" w16cid:durableId="390151700">
    <w:abstractNumId w:val="1"/>
  </w:num>
  <w:num w:numId="8" w16cid:durableId="1548223813">
    <w:abstractNumId w:val="4"/>
  </w:num>
  <w:num w:numId="9" w16cid:durableId="519201855">
    <w:abstractNumId w:val="10"/>
  </w:num>
  <w:num w:numId="10" w16cid:durableId="373315679">
    <w:abstractNumId w:val="11"/>
  </w:num>
  <w:num w:numId="11" w16cid:durableId="1707245064">
    <w:abstractNumId w:val="5"/>
  </w:num>
  <w:num w:numId="12" w16cid:durableId="1778596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E6"/>
    <w:rsid w:val="00054D6E"/>
    <w:rsid w:val="00057696"/>
    <w:rsid w:val="000754C1"/>
    <w:rsid w:val="000962B7"/>
    <w:rsid w:val="000E0E78"/>
    <w:rsid w:val="0013297C"/>
    <w:rsid w:val="00133ECF"/>
    <w:rsid w:val="0017010E"/>
    <w:rsid w:val="00187EF6"/>
    <w:rsid w:val="001C0D3E"/>
    <w:rsid w:val="001D59F3"/>
    <w:rsid w:val="001D6A8F"/>
    <w:rsid w:val="001E2503"/>
    <w:rsid w:val="001F3E8E"/>
    <w:rsid w:val="00290941"/>
    <w:rsid w:val="002918EB"/>
    <w:rsid w:val="002B69E5"/>
    <w:rsid w:val="002C3639"/>
    <w:rsid w:val="002C3652"/>
    <w:rsid w:val="002D31A4"/>
    <w:rsid w:val="0038019F"/>
    <w:rsid w:val="00380B01"/>
    <w:rsid w:val="00385E74"/>
    <w:rsid w:val="003B6963"/>
    <w:rsid w:val="00425356"/>
    <w:rsid w:val="00467017"/>
    <w:rsid w:val="004E4AAC"/>
    <w:rsid w:val="0053689B"/>
    <w:rsid w:val="0057272B"/>
    <w:rsid w:val="00576B97"/>
    <w:rsid w:val="005A1F11"/>
    <w:rsid w:val="005A452C"/>
    <w:rsid w:val="005B79D1"/>
    <w:rsid w:val="005D26BE"/>
    <w:rsid w:val="005D53C4"/>
    <w:rsid w:val="005E0215"/>
    <w:rsid w:val="005E69C3"/>
    <w:rsid w:val="005E6B0E"/>
    <w:rsid w:val="006774BA"/>
    <w:rsid w:val="006830D5"/>
    <w:rsid w:val="00685DB4"/>
    <w:rsid w:val="006A24FC"/>
    <w:rsid w:val="006F47D3"/>
    <w:rsid w:val="007539A3"/>
    <w:rsid w:val="00763F73"/>
    <w:rsid w:val="007D4A57"/>
    <w:rsid w:val="007D7483"/>
    <w:rsid w:val="007F2637"/>
    <w:rsid w:val="008001AD"/>
    <w:rsid w:val="00806BA9"/>
    <w:rsid w:val="00884EE6"/>
    <w:rsid w:val="008857A3"/>
    <w:rsid w:val="00895868"/>
    <w:rsid w:val="008A616F"/>
    <w:rsid w:val="008C3109"/>
    <w:rsid w:val="008D1B0E"/>
    <w:rsid w:val="008F2FEE"/>
    <w:rsid w:val="00935F35"/>
    <w:rsid w:val="00955866"/>
    <w:rsid w:val="00955BD1"/>
    <w:rsid w:val="009879A8"/>
    <w:rsid w:val="0099050A"/>
    <w:rsid w:val="00997B9D"/>
    <w:rsid w:val="009A4601"/>
    <w:rsid w:val="009B0BE2"/>
    <w:rsid w:val="009B615A"/>
    <w:rsid w:val="009B7555"/>
    <w:rsid w:val="009C43AB"/>
    <w:rsid w:val="009E05CB"/>
    <w:rsid w:val="009F6F21"/>
    <w:rsid w:val="00A44773"/>
    <w:rsid w:val="00A9371D"/>
    <w:rsid w:val="00AE716B"/>
    <w:rsid w:val="00AF36B0"/>
    <w:rsid w:val="00AF63C6"/>
    <w:rsid w:val="00B13592"/>
    <w:rsid w:val="00B13A3A"/>
    <w:rsid w:val="00B758B6"/>
    <w:rsid w:val="00BD4E73"/>
    <w:rsid w:val="00C315EC"/>
    <w:rsid w:val="00C42BD4"/>
    <w:rsid w:val="00C55AA1"/>
    <w:rsid w:val="00C55B53"/>
    <w:rsid w:val="00C57F26"/>
    <w:rsid w:val="00C933AE"/>
    <w:rsid w:val="00CA494C"/>
    <w:rsid w:val="00CC1188"/>
    <w:rsid w:val="00CD5E80"/>
    <w:rsid w:val="00D3448D"/>
    <w:rsid w:val="00D54A3E"/>
    <w:rsid w:val="00D61063"/>
    <w:rsid w:val="00D73488"/>
    <w:rsid w:val="00D753A5"/>
    <w:rsid w:val="00D9412D"/>
    <w:rsid w:val="00D9758A"/>
    <w:rsid w:val="00DE5B07"/>
    <w:rsid w:val="00DE7582"/>
    <w:rsid w:val="00E20488"/>
    <w:rsid w:val="00E60DCE"/>
    <w:rsid w:val="00E639B8"/>
    <w:rsid w:val="00EB6F70"/>
    <w:rsid w:val="00EB7DF5"/>
    <w:rsid w:val="00F42BD1"/>
    <w:rsid w:val="00F45CB3"/>
    <w:rsid w:val="00F70339"/>
    <w:rsid w:val="00F81FB2"/>
    <w:rsid w:val="00F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B52A6"/>
  <w15:chartTrackingRefBased/>
  <w15:docId w15:val="{B5193413-971C-4AFA-9964-CD387485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4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884EE6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E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E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4EE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88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EE6"/>
  </w:style>
  <w:style w:type="character" w:styleId="Lienhypertexte">
    <w:name w:val="Hyperlink"/>
    <w:basedOn w:val="Policepardfaut"/>
    <w:uiPriority w:val="99"/>
    <w:unhideWhenUsed/>
    <w:rsid w:val="0057272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27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6963"/>
    <w:rPr>
      <w:rFonts w:ascii="Times New Roman" w:hAnsi="Times New Roman" w:cs="Times New Roman"/>
      <w:sz w:val="24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3B6963"/>
  </w:style>
  <w:style w:type="paragraph" w:customStyle="1" w:styleId="Standard">
    <w:name w:val="Standard"/>
    <w:rsid w:val="00CA494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CA494C"/>
    <w:pPr>
      <w:suppressLineNumbers/>
      <w:ind w:left="340" w:hanging="340"/>
    </w:pPr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42BD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42BD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42BD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452C"/>
    <w:pPr>
      <w:suppressAutoHyphens/>
      <w:ind w:left="720"/>
      <w:contextualSpacing/>
    </w:pPr>
  </w:style>
  <w:style w:type="table" w:styleId="Grilledutableau">
    <w:name w:val="Table Grid"/>
    <w:basedOn w:val="TableauNormal"/>
    <w:uiPriority w:val="39"/>
    <w:rsid w:val="005A45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2048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8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9F"/>
  </w:style>
  <w:style w:type="character" w:styleId="Mentionnonrsolue">
    <w:name w:val="Unresolved Mention"/>
    <w:basedOn w:val="Policepardfaut"/>
    <w:uiPriority w:val="99"/>
    <w:semiHidden/>
    <w:unhideWhenUsed/>
    <w:rsid w:val="00B7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05555555555544E-2"/>
          <c:y val="5.1597039953339169E-2"/>
          <c:w val="0.87352777777777779"/>
          <c:h val="0.79525481189851266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Feuil1!$A$1</c:f>
              <c:strCache>
                <c:ptCount val="1"/>
                <c:pt idx="0">
                  <c:v>t (min)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olid"/>
              </a:ln>
              <a:effectLst/>
            </c:spPr>
            <c:trendlineType val="exp"/>
            <c:forward val="10"/>
            <c:backward val="2"/>
            <c:dispRSqr val="0"/>
            <c:dispEq val="0"/>
          </c:trendline>
          <c:xVal>
            <c:numRef>
              <c:f>Feuil1!$A$2:$A$10</c:f>
              <c:numCache>
                <c:formatCode>General</c:formatCode>
                <c:ptCount val="9"/>
                <c:pt idx="0">
                  <c:v>1.6760563380281599</c:v>
                </c:pt>
                <c:pt idx="1">
                  <c:v>3.8450704225352101</c:v>
                </c:pt>
                <c:pt idx="2">
                  <c:v>5.9154929577464799</c:v>
                </c:pt>
                <c:pt idx="3">
                  <c:v>7.7887323943661899</c:v>
                </c:pt>
                <c:pt idx="4">
                  <c:v>11.9295774647887</c:v>
                </c:pt>
                <c:pt idx="5">
                  <c:v>19.915492957746402</c:v>
                </c:pt>
                <c:pt idx="6">
                  <c:v>29.9718309859154</c:v>
                </c:pt>
                <c:pt idx="7">
                  <c:v>39.9295774647887</c:v>
                </c:pt>
                <c:pt idx="8">
                  <c:v>79.8591549295774</c:v>
                </c:pt>
              </c:numCache>
            </c:numRef>
          </c:xVal>
          <c:yVal>
            <c:numRef>
              <c:f>Feuil1!$B$2:$B$10</c:f>
              <c:numCache>
                <c:formatCode>General</c:formatCode>
                <c:ptCount val="9"/>
                <c:pt idx="0">
                  <c:v>79.953051643192495</c:v>
                </c:pt>
                <c:pt idx="1">
                  <c:v>75.023474178403703</c:v>
                </c:pt>
                <c:pt idx="2">
                  <c:v>68.920187793427203</c:v>
                </c:pt>
                <c:pt idx="3">
                  <c:v>64.460093896713602</c:v>
                </c:pt>
                <c:pt idx="4">
                  <c:v>56.948356807511701</c:v>
                </c:pt>
                <c:pt idx="5">
                  <c:v>42.863849765258202</c:v>
                </c:pt>
                <c:pt idx="6">
                  <c:v>29.483568075117301</c:v>
                </c:pt>
                <c:pt idx="7">
                  <c:v>21.032863849765199</c:v>
                </c:pt>
                <c:pt idx="8">
                  <c:v>6.2441314553990503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109-42F1-8309-0CEBD62E0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0064136"/>
        <c:axId val="250065312"/>
      </c:scatterChart>
      <c:valAx>
        <c:axId val="250064136"/>
        <c:scaling>
          <c:orientation val="minMax"/>
          <c:max val="85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 i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</a:t>
                </a:r>
                <a:r>
                  <a:rPr lang="fr-FR" sz="11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(en min)</a:t>
                </a:r>
              </a:p>
            </c:rich>
          </c:tx>
          <c:layout>
            <c:manualLayout>
              <c:xMode val="edge"/>
              <c:yMode val="edge"/>
              <c:x val="0.84420144356955373"/>
              <c:y val="0.913657407407407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250065312"/>
        <c:crosses val="autoZero"/>
        <c:crossBetween val="midCat"/>
        <c:majorUnit val="10"/>
      </c:valAx>
      <c:valAx>
        <c:axId val="25006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2500641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12510936132983E-2"/>
          <c:y val="5.1597039953339169E-2"/>
          <c:w val="0.88320822397200349"/>
          <c:h val="0.9176159230096238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Feuil1!$C$1</c:f>
              <c:strCache>
                <c:ptCount val="1"/>
                <c:pt idx="0">
                  <c:v>lnC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forward val="10"/>
            <c:backward val="1.5"/>
            <c:dispRSqr val="0"/>
            <c:dispEq val="0"/>
          </c:trendline>
          <c:xVal>
            <c:numRef>
              <c:f>Feuil1!$A$2:$A$10</c:f>
              <c:numCache>
                <c:formatCode>General</c:formatCode>
                <c:ptCount val="9"/>
                <c:pt idx="0">
                  <c:v>1.6760563380281599</c:v>
                </c:pt>
                <c:pt idx="1">
                  <c:v>3.8450704225352101</c:v>
                </c:pt>
                <c:pt idx="2">
                  <c:v>5.9154929577464799</c:v>
                </c:pt>
                <c:pt idx="3">
                  <c:v>7.7887323943661899</c:v>
                </c:pt>
                <c:pt idx="4">
                  <c:v>11.9295774647887</c:v>
                </c:pt>
                <c:pt idx="5">
                  <c:v>19.915492957746402</c:v>
                </c:pt>
                <c:pt idx="6">
                  <c:v>29.9718309859154</c:v>
                </c:pt>
                <c:pt idx="7">
                  <c:v>39.9295774647887</c:v>
                </c:pt>
                <c:pt idx="8">
                  <c:v>79.8591549295774</c:v>
                </c:pt>
              </c:numCache>
            </c:numRef>
          </c:xVal>
          <c:yVal>
            <c:numRef>
              <c:f>Feuil1!$C$2:$C$10</c:f>
              <c:numCache>
                <c:formatCode>General</c:formatCode>
                <c:ptCount val="9"/>
                <c:pt idx="0">
                  <c:v>-2.526315671034828</c:v>
                </c:pt>
                <c:pt idx="1">
                  <c:v>-2.5899542253712973</c:v>
                </c:pt>
                <c:pt idx="2">
                  <c:v>-2.6748061425230558</c:v>
                </c:pt>
                <c:pt idx="3">
                  <c:v>-2.7417089459295458</c:v>
                </c:pt>
                <c:pt idx="4">
                  <c:v>-2.865610442753467</c:v>
                </c:pt>
                <c:pt idx="5">
                  <c:v>-3.1497264711025483</c:v>
                </c:pt>
                <c:pt idx="6">
                  <c:v>-3.5239221852293201</c:v>
                </c:pt>
                <c:pt idx="7">
                  <c:v>-3.8616691192825341</c:v>
                </c:pt>
                <c:pt idx="8">
                  <c:v>-5.0761132234757644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5C4-4891-8544-F2D1DE0EB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8794936"/>
        <c:axId val="620373216"/>
      </c:scatterChart>
      <c:valAx>
        <c:axId val="458794936"/>
        <c:scaling>
          <c:orientation val="minMax"/>
          <c:max val="85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 i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</a:t>
                </a:r>
                <a:r>
                  <a:rPr lang="fr-FR" sz="1100" i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(en min)</a:t>
                </a:r>
                <a:endParaRPr lang="fr-FR" i="1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83836811023622049"/>
              <c:y val="2.682852143482064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620373216"/>
        <c:crosses val="autoZero"/>
        <c:crossBetween val="midCat"/>
        <c:majorUnit val="10"/>
      </c:valAx>
      <c:valAx>
        <c:axId val="620373216"/>
        <c:scaling>
          <c:orientation val="minMax"/>
          <c:max val="0.5"/>
          <c:min val="-6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458794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624C-EFA2-4B02-A2A5-9B4C607A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MOUTON ALICE</dc:creator>
  <cp:keywords/>
  <dc:description/>
  <cp:lastModifiedBy>Jocelyn CLEMENT</cp:lastModifiedBy>
  <cp:revision>4</cp:revision>
  <cp:lastPrinted>2024-02-28T15:22:00Z</cp:lastPrinted>
  <dcterms:created xsi:type="dcterms:W3CDTF">2024-03-01T16:54:00Z</dcterms:created>
  <dcterms:modified xsi:type="dcterms:W3CDTF">2024-03-01T16:57:00Z</dcterms:modified>
</cp:coreProperties>
</file>