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30FB1A78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1B38D1">
        <w:rPr>
          <w:b/>
          <w:bCs/>
        </w:rPr>
        <w:t>Métropole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B38D1">
        <w:rPr>
          <w:b/>
          <w:bCs/>
        </w:rPr>
        <w:t>1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1909BFB6" w:rsidR="000E51A4" w:rsidRDefault="0055099D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Sciences physiques pour les S</w:t>
      </w:r>
      <w:r w:rsidR="00674824">
        <w:rPr>
          <w:b/>
          <w:bCs/>
        </w:rPr>
        <w:t xml:space="preserve">ciences de </w:t>
      </w:r>
      <w:proofErr w:type="gramStart"/>
      <w:r w:rsidR="00674824">
        <w:rPr>
          <w:b/>
          <w:bCs/>
        </w:rPr>
        <w:t>l’</w:t>
      </w:r>
      <w:proofErr w:type="spellStart"/>
      <w:r w:rsidR="00674824">
        <w:rPr>
          <w:b/>
          <w:bCs/>
        </w:rPr>
        <w:t>ingénieur.e</w:t>
      </w:r>
      <w:proofErr w:type="spellEnd"/>
      <w:proofErr w:type="gramEnd"/>
      <w:r w:rsidR="00F24D24">
        <w:rPr>
          <w:b/>
          <w:bCs/>
        </w:rPr>
        <w:tab/>
      </w:r>
    </w:p>
    <w:p w14:paraId="4682CCBE" w14:textId="012BFE5F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674824">
        <w:rPr>
          <w:b/>
          <w:bCs/>
        </w:rPr>
        <w:t>B</w:t>
      </w:r>
      <w:r w:rsidR="00515601">
        <w:rPr>
          <w:b/>
          <w:bCs/>
        </w:rPr>
        <w:t xml:space="preserve"> </w:t>
      </w:r>
      <w:proofErr w:type="gramStart"/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674824" w:rsidRPr="00674824">
        <w:rPr>
          <w:b/>
          <w:bCs/>
        </w:rPr>
        <w:t xml:space="preserve"> </w:t>
      </w:r>
      <w:r w:rsidR="001B38D1">
        <w:rPr>
          <w:rFonts w:cs="Arial"/>
          <w:b/>
          <w:bCs/>
        </w:rPr>
        <w:t>É</w:t>
      </w:r>
      <w:r w:rsidR="001B38D1">
        <w:rPr>
          <w:b/>
          <w:bCs/>
        </w:rPr>
        <w:t>tude</w:t>
      </w:r>
      <w:proofErr w:type="gramEnd"/>
      <w:r w:rsidR="001B38D1">
        <w:rPr>
          <w:b/>
          <w:bCs/>
        </w:rPr>
        <w:t xml:space="preserve"> thermique d’un méthanier </w:t>
      </w:r>
      <w:r w:rsidRPr="001013B2">
        <w:rPr>
          <w:b/>
          <w:bCs/>
        </w:rPr>
        <w:t>(</w:t>
      </w:r>
      <w:r w:rsidR="00674824">
        <w:rPr>
          <w:b/>
          <w:bCs/>
        </w:rPr>
        <w:t>10</w:t>
      </w:r>
      <w:r w:rsidRPr="001013B2">
        <w:rPr>
          <w:b/>
          <w:bCs/>
        </w:rPr>
        <w:t xml:space="preserve"> points</w:t>
      </w:r>
      <w:r w:rsidR="0055099D">
        <w:rPr>
          <w:b/>
          <w:bCs/>
        </w:rPr>
        <w:t>, 30 min</w:t>
      </w:r>
      <w:r w:rsidRPr="001013B2">
        <w:rPr>
          <w:b/>
          <w:bCs/>
        </w:rPr>
        <w:t>)</w:t>
      </w:r>
    </w:p>
    <w:p w14:paraId="1A0E9C21" w14:textId="77777777" w:rsidR="00306758" w:rsidRPr="0090656D" w:rsidRDefault="00306758" w:rsidP="001B38D1">
      <w:pPr>
        <w:pStyle w:val="Paragraphedeliste"/>
        <w:spacing w:line="276" w:lineRule="auto"/>
        <w:ind w:left="0"/>
        <w:jc w:val="both"/>
        <w:rPr>
          <w:b/>
          <w:bCs/>
          <w:sz w:val="10"/>
          <w:szCs w:val="10"/>
        </w:rPr>
      </w:pPr>
    </w:p>
    <w:p w14:paraId="40EC3355" w14:textId="23C2C90E" w:rsidR="001B38D1" w:rsidRDefault="00970326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Q1</w:t>
      </w:r>
      <w:r w:rsidR="001D0326" w:rsidRPr="001D0326">
        <w:rPr>
          <w:b/>
          <w:bCs/>
          <w:sz w:val="24"/>
          <w:szCs w:val="28"/>
        </w:rPr>
        <w:t>.</w:t>
      </w:r>
      <w:r w:rsidR="008D54E2">
        <w:rPr>
          <w:b/>
          <w:bCs/>
          <w:sz w:val="24"/>
          <w:szCs w:val="28"/>
        </w:rPr>
        <w:t xml:space="preserve"> </w:t>
      </w:r>
      <w:r w:rsidR="001B38D1" w:rsidRPr="001B38D1">
        <w:rPr>
          <w:sz w:val="24"/>
          <w:szCs w:val="28"/>
        </w:rPr>
        <w:t>Le transfert thermique se fait spontanément du corps chaud vers le corps froid d’où le sens de la flèche (</w:t>
      </w:r>
      <w:r w:rsidR="001B38D1">
        <w:rPr>
          <w:sz w:val="24"/>
          <w:szCs w:val="28"/>
        </w:rPr>
        <w:t>la température de l’environnement extérieur est bien plus élevée que celle du GNL).</w:t>
      </w:r>
    </w:p>
    <w:p w14:paraId="02A7D370" w14:textId="77777777" w:rsidR="008E3EF4" w:rsidRDefault="008E3EF4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24A5721E" w14:textId="1C7EE9C6" w:rsidR="001B38D1" w:rsidRDefault="001B38D1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Q2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306758">
        <w:rPr>
          <w:sz w:val="24"/>
          <w:szCs w:val="28"/>
        </w:rPr>
        <w:t>La relation liant le flux thermique à la résistance thermique est :</w:t>
      </w:r>
      <w:r w:rsidR="00306758" w:rsidRPr="00306758">
        <w:rPr>
          <w:sz w:val="24"/>
          <w:szCs w:val="28"/>
        </w:rPr>
        <w:t xml:space="preserve"> </w:t>
      </w:r>
      <w:r w:rsidR="00042161" w:rsidRPr="00306758">
        <w:rPr>
          <w:position w:val="-30"/>
          <w:sz w:val="24"/>
          <w:szCs w:val="28"/>
        </w:rPr>
        <w:object w:dxaOrig="1660" w:dyaOrig="700" w14:anchorId="6D439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34.8pt" o:ole="">
            <v:imagedata r:id="rId7" o:title=""/>
          </v:shape>
          <o:OLEObject Type="Embed" ProgID="Equation.DSMT4" ShapeID="_x0000_i1025" DrawAspect="Content" ObjectID="_1771331209" r:id="rId8"/>
        </w:object>
      </w:r>
    </w:p>
    <w:p w14:paraId="61547B8D" w14:textId="0D48777B" w:rsidR="00306758" w:rsidRDefault="00306758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En utilisant les notations de l’énoncé : </w:t>
      </w:r>
      <w:r w:rsidR="002B4FC9" w:rsidRPr="00306758">
        <w:rPr>
          <w:position w:val="-30"/>
          <w:sz w:val="24"/>
          <w:szCs w:val="28"/>
        </w:rPr>
        <w:object w:dxaOrig="3820" w:dyaOrig="700" w14:anchorId="4762B10D">
          <v:shape id="_x0000_i1026" type="#_x0000_t75" style="width:190.2pt;height:34.8pt" o:ole="">
            <v:imagedata r:id="rId9" o:title=""/>
          </v:shape>
          <o:OLEObject Type="Embed" ProgID="Equation.DSMT4" ShapeID="_x0000_i1026" DrawAspect="Content" ObjectID="_1771331210" r:id="rId10"/>
        </w:object>
      </w:r>
    </w:p>
    <w:p w14:paraId="0BC0D84C" w14:textId="1F625964" w:rsidR="001B38D1" w:rsidRDefault="001C0F14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2B4FC9">
        <w:rPr>
          <w:position w:val="-24"/>
          <w:sz w:val="24"/>
          <w:szCs w:val="28"/>
        </w:rPr>
        <w:object w:dxaOrig="6399" w:dyaOrig="620" w14:anchorId="4BD57811">
          <v:shape id="_x0000_i1041" type="#_x0000_t75" style="width:319.2pt;height:31.2pt" o:ole="">
            <v:imagedata r:id="rId11" o:title=""/>
          </v:shape>
          <o:OLEObject Type="Embed" ProgID="Equation.DSMT4" ShapeID="_x0000_i1041" DrawAspect="Content" ObjectID="_1771331211" r:id="rId12"/>
        </w:object>
      </w:r>
      <w:r w:rsidR="002B4FC9">
        <w:rPr>
          <w:sz w:val="24"/>
          <w:szCs w:val="28"/>
        </w:rPr>
        <w:t>(</w:t>
      </w:r>
      <w:proofErr w:type="gramStart"/>
      <w:r w:rsidR="002B4FC9">
        <w:rPr>
          <w:sz w:val="24"/>
          <w:szCs w:val="28"/>
        </w:rPr>
        <w:t>car</w:t>
      </w:r>
      <w:proofErr w:type="gramEnd"/>
      <w:r w:rsidR="002B4FC9">
        <w:rPr>
          <w:sz w:val="24"/>
          <w:szCs w:val="28"/>
        </w:rPr>
        <w:t xml:space="preserve"> une </w:t>
      </w:r>
      <w:r w:rsidR="002B4FC9" w:rsidRPr="002B4FC9">
        <w:rPr>
          <w:sz w:val="24"/>
          <w:szCs w:val="28"/>
          <w:u w:val="single"/>
        </w:rPr>
        <w:t>différence</w:t>
      </w:r>
      <w:r w:rsidR="002B4FC9">
        <w:rPr>
          <w:sz w:val="24"/>
          <w:szCs w:val="28"/>
        </w:rPr>
        <w:t xml:space="preserve"> de température en °C est égale à une </w:t>
      </w:r>
      <w:r w:rsidR="002B4FC9" w:rsidRPr="002B4FC9">
        <w:rPr>
          <w:sz w:val="24"/>
          <w:szCs w:val="28"/>
          <w:u w:val="single"/>
        </w:rPr>
        <w:t>différence</w:t>
      </w:r>
      <w:r w:rsidR="002B4FC9">
        <w:rPr>
          <w:sz w:val="24"/>
          <w:szCs w:val="28"/>
        </w:rPr>
        <w:t xml:space="preserve"> de température en K)</w:t>
      </w:r>
      <w:r w:rsidR="00042161">
        <w:rPr>
          <w:sz w:val="24"/>
          <w:szCs w:val="28"/>
        </w:rPr>
        <w:t>.</w:t>
      </w:r>
    </w:p>
    <w:p w14:paraId="409FBE35" w14:textId="77777777" w:rsidR="008E3EF4" w:rsidRDefault="008E3EF4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46AF0117" w14:textId="32A56468" w:rsidR="001B38D1" w:rsidRDefault="002B4FC9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Q3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042161" w:rsidRPr="002B4FC9">
        <w:rPr>
          <w:position w:val="-30"/>
          <w:sz w:val="24"/>
          <w:szCs w:val="28"/>
        </w:rPr>
        <w:object w:dxaOrig="2960" w:dyaOrig="720" w14:anchorId="09C4C7D6">
          <v:shape id="_x0000_i1028" type="#_x0000_t75" style="width:147.6pt;height:36pt" o:ole="">
            <v:imagedata r:id="rId13" o:title=""/>
          </v:shape>
          <o:OLEObject Type="Embed" ProgID="Equation.DSMT4" ShapeID="_x0000_i1028" DrawAspect="Content" ObjectID="_1771331212" r:id="rId14"/>
        </w:object>
      </w:r>
      <w:r w:rsidR="00042161">
        <w:rPr>
          <w:sz w:val="24"/>
          <w:szCs w:val="28"/>
        </w:rPr>
        <w:t xml:space="preserve">, ou encore </w:t>
      </w:r>
      <w:proofErr w:type="spellStart"/>
      <w:r w:rsidR="00042161" w:rsidRPr="00042161">
        <w:rPr>
          <w:i/>
          <w:iCs/>
          <w:sz w:val="24"/>
          <w:szCs w:val="28"/>
        </w:rPr>
        <w:t>R</w:t>
      </w:r>
      <w:r w:rsidR="00042161" w:rsidRPr="00042161">
        <w:rPr>
          <w:sz w:val="24"/>
          <w:szCs w:val="28"/>
          <w:vertAlign w:val="subscript"/>
        </w:rPr>
        <w:t>th</w:t>
      </w:r>
      <w:proofErr w:type="spellEnd"/>
      <w:r w:rsidR="00042161">
        <w:rPr>
          <w:sz w:val="24"/>
          <w:szCs w:val="28"/>
        </w:rPr>
        <w:t xml:space="preserve"> = </w:t>
      </w:r>
      <w:proofErr w:type="gramStart"/>
      <w:r w:rsidR="00042161">
        <w:rPr>
          <w:sz w:val="24"/>
          <w:szCs w:val="28"/>
        </w:rPr>
        <w:t>3,6×10</w:t>
      </w:r>
      <w:r w:rsidR="00042161">
        <w:rPr>
          <w:sz w:val="24"/>
          <w:szCs w:val="28"/>
          <w:vertAlign w:val="superscript"/>
        </w:rPr>
        <w:t>3</w:t>
      </w:r>
      <w:r w:rsidR="00042161">
        <w:rPr>
          <w:sz w:val="24"/>
          <w:szCs w:val="28"/>
        </w:rPr>
        <w:t>.</w:t>
      </w:r>
      <w:r w:rsidR="00042161">
        <w:rPr>
          <w:i/>
          <w:iCs/>
          <w:sz w:val="24"/>
          <w:szCs w:val="28"/>
        </w:rPr>
        <w:t>R</w:t>
      </w:r>
      <w:r w:rsidR="00042161">
        <w:rPr>
          <w:sz w:val="24"/>
          <w:szCs w:val="28"/>
          <w:vertAlign w:val="subscript"/>
        </w:rPr>
        <w:t>ce</w:t>
      </w:r>
      <w:proofErr w:type="gramEnd"/>
      <w:r w:rsidR="00042161">
        <w:rPr>
          <w:sz w:val="24"/>
          <w:szCs w:val="28"/>
        </w:rPr>
        <w:t xml:space="preserve"> donc </w:t>
      </w:r>
      <w:r w:rsidR="00042161" w:rsidRPr="00042161">
        <w:rPr>
          <w:sz w:val="24"/>
          <w:szCs w:val="28"/>
        </w:rPr>
        <w:t>l</w:t>
      </w:r>
      <w:r w:rsidRPr="00042161">
        <w:rPr>
          <w:sz w:val="24"/>
          <w:szCs w:val="28"/>
        </w:rPr>
        <w:t>a</w:t>
      </w:r>
      <w:r>
        <w:rPr>
          <w:sz w:val="24"/>
          <w:szCs w:val="28"/>
        </w:rPr>
        <w:t xml:space="preserve"> résistance thermique de la coque </w:t>
      </w:r>
      <w:r w:rsidR="00DE2532">
        <w:rPr>
          <w:sz w:val="24"/>
          <w:szCs w:val="28"/>
        </w:rPr>
        <w:t xml:space="preserve">externe </w:t>
      </w:r>
      <w:r>
        <w:rPr>
          <w:sz w:val="24"/>
          <w:szCs w:val="28"/>
        </w:rPr>
        <w:t>est négligeable devant la résistance thermique</w:t>
      </w:r>
      <w:r w:rsidR="00DE2532">
        <w:rPr>
          <w:sz w:val="24"/>
          <w:szCs w:val="28"/>
        </w:rPr>
        <w:t xml:space="preserve"> totale de la paroi du méthanier.</w:t>
      </w:r>
    </w:p>
    <w:p w14:paraId="0E09A9C6" w14:textId="77777777" w:rsidR="008E3EF4" w:rsidRPr="008E3EF4" w:rsidRDefault="008E3EF4" w:rsidP="001D0326">
      <w:pPr>
        <w:pStyle w:val="Paragraphedeliste"/>
        <w:ind w:left="0"/>
        <w:jc w:val="both"/>
        <w:rPr>
          <w:sz w:val="24"/>
          <w:szCs w:val="28"/>
        </w:rPr>
      </w:pPr>
    </w:p>
    <w:p w14:paraId="3772CA64" w14:textId="5ABB13FA" w:rsidR="00A2558F" w:rsidRDefault="002C4F8B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Q4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2C4F8B">
        <w:rPr>
          <w:sz w:val="24"/>
          <w:szCs w:val="28"/>
        </w:rPr>
        <w:t xml:space="preserve">Les coefficients </w:t>
      </w:r>
      <w:r w:rsidRPr="002C4F8B">
        <w:rPr>
          <w:position w:val="-6"/>
          <w:sz w:val="24"/>
          <w:szCs w:val="28"/>
        </w:rPr>
        <w:object w:dxaOrig="220" w:dyaOrig="279" w14:anchorId="0270AA1E">
          <v:shape id="_x0000_i1029" type="#_x0000_t75" style="width:10.8pt;height:13.8pt" o:ole="">
            <v:imagedata r:id="rId15" o:title=""/>
          </v:shape>
          <o:OLEObject Type="Embed" ProgID="Equation.DSMT4" ShapeID="_x0000_i1029" DrawAspect="Content" ObjectID="_1771331213" r:id="rId16"/>
        </w:object>
      </w:r>
      <w:r>
        <w:rPr>
          <w:sz w:val="24"/>
          <w:szCs w:val="28"/>
        </w:rPr>
        <w:t xml:space="preserve"> correspondent à des transferts thermiques par </w:t>
      </w:r>
      <w:r w:rsidRPr="002C4F8B">
        <w:rPr>
          <w:b/>
          <w:bCs/>
          <w:sz w:val="24"/>
          <w:szCs w:val="28"/>
        </w:rPr>
        <w:t>conduction</w:t>
      </w:r>
      <w:r>
        <w:rPr>
          <w:sz w:val="24"/>
          <w:szCs w:val="28"/>
        </w:rPr>
        <w:t xml:space="preserve"> à travers un matériau tandis que l</w:t>
      </w:r>
      <w:r w:rsidRPr="002C4F8B">
        <w:rPr>
          <w:sz w:val="24"/>
          <w:szCs w:val="28"/>
        </w:rPr>
        <w:t xml:space="preserve">es coefficients </w:t>
      </w:r>
      <w:r w:rsidRPr="002C4F8B">
        <w:rPr>
          <w:position w:val="-4"/>
          <w:sz w:val="24"/>
          <w:szCs w:val="28"/>
        </w:rPr>
        <w:object w:dxaOrig="200" w:dyaOrig="260" w14:anchorId="2B00583D">
          <v:shape id="_x0000_i1030" type="#_x0000_t75" style="width:9.6pt;height:13.2pt" o:ole="">
            <v:imagedata r:id="rId17" o:title=""/>
          </v:shape>
          <o:OLEObject Type="Embed" ProgID="Equation.DSMT4" ShapeID="_x0000_i1030" DrawAspect="Content" ObjectID="_1771331214" r:id="rId18"/>
        </w:object>
      </w:r>
      <w:r w:rsidR="00861DC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correspondent à des transferts thermiques par </w:t>
      </w:r>
      <w:r w:rsidRPr="002C4F8B">
        <w:rPr>
          <w:b/>
          <w:bCs/>
          <w:sz w:val="24"/>
          <w:szCs w:val="28"/>
        </w:rPr>
        <w:t>convection</w:t>
      </w:r>
      <w:r>
        <w:rPr>
          <w:sz w:val="24"/>
          <w:szCs w:val="28"/>
        </w:rPr>
        <w:t xml:space="preserve"> dans un fluide (liquide ou gaz).</w:t>
      </w:r>
    </w:p>
    <w:p w14:paraId="2662AD77" w14:textId="77777777" w:rsidR="008E3EF4" w:rsidRPr="008E3EF4" w:rsidRDefault="008E3EF4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15B20A3A" w14:textId="67544186" w:rsidR="00A2558F" w:rsidRDefault="00A2558F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Q5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 xml:space="preserve">Par définition de la puissance : </w:t>
      </w:r>
      <w:r w:rsidRPr="00A2558F">
        <w:rPr>
          <w:position w:val="-24"/>
          <w:sz w:val="24"/>
          <w:szCs w:val="28"/>
        </w:rPr>
        <w:object w:dxaOrig="3080" w:dyaOrig="639" w14:anchorId="6A3EFF33">
          <v:shape id="_x0000_i1031" type="#_x0000_t75" style="width:153pt;height:31.8pt" o:ole="">
            <v:imagedata r:id="rId19" o:title=""/>
          </v:shape>
          <o:OLEObject Type="Embed" ProgID="Equation.DSMT4" ShapeID="_x0000_i1031" DrawAspect="Content" ObjectID="_1771331215" r:id="rId20"/>
        </w:object>
      </w:r>
      <w:r w:rsidR="00861DC0">
        <w:rPr>
          <w:sz w:val="24"/>
          <w:szCs w:val="28"/>
        </w:rPr>
        <w:t>.</w:t>
      </w:r>
    </w:p>
    <w:p w14:paraId="505E5A9A" w14:textId="55FA546E" w:rsidR="00A2558F" w:rsidRDefault="00A2558F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A2558F">
        <w:rPr>
          <w:position w:val="-12"/>
          <w:sz w:val="24"/>
          <w:szCs w:val="28"/>
        </w:rPr>
        <w:object w:dxaOrig="4099" w:dyaOrig="380" w14:anchorId="4EC6AF85">
          <v:shape id="_x0000_i1032" type="#_x0000_t75" style="width:204.6pt;height:19.2pt" o:ole="">
            <v:imagedata r:id="rId21" o:title=""/>
          </v:shape>
          <o:OLEObject Type="Embed" ProgID="Equation.DSMT4" ShapeID="_x0000_i1032" DrawAspect="Content" ObjectID="_1771331216" r:id="rId22"/>
        </w:object>
      </w:r>
      <w:r w:rsidR="00861DC0">
        <w:rPr>
          <w:sz w:val="24"/>
          <w:szCs w:val="28"/>
        </w:rPr>
        <w:t>.</w:t>
      </w:r>
    </w:p>
    <w:p w14:paraId="7F45F148" w14:textId="50FFF52C" w:rsidR="00A2558F" w:rsidRDefault="00A2558F" w:rsidP="009A1D63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Ou </w:t>
      </w:r>
      <w:r w:rsidRPr="00A2558F">
        <w:rPr>
          <w:position w:val="-12"/>
          <w:sz w:val="24"/>
          <w:szCs w:val="28"/>
        </w:rPr>
        <w:object w:dxaOrig="4840" w:dyaOrig="380" w14:anchorId="444606AC">
          <v:shape id="_x0000_i1033" type="#_x0000_t75" style="width:241.2pt;height:19.2pt" o:ole="">
            <v:imagedata r:id="rId23" o:title=""/>
          </v:shape>
          <o:OLEObject Type="Embed" ProgID="Equation.DSMT4" ShapeID="_x0000_i1033" DrawAspect="Content" ObjectID="_1771331217" r:id="rId24"/>
        </w:object>
      </w:r>
      <w:r w:rsidR="00D44064">
        <w:rPr>
          <w:sz w:val="24"/>
          <w:szCs w:val="28"/>
        </w:rPr>
        <w:t xml:space="preserve"> </w:t>
      </w:r>
      <w:r w:rsidR="00D44064" w:rsidRPr="00D44064">
        <w:rPr>
          <w:color w:val="0000FF"/>
          <w:sz w:val="24"/>
          <w:szCs w:val="28"/>
        </w:rPr>
        <w:t>(plus utile pour la suite)</w:t>
      </w:r>
      <w:r>
        <w:rPr>
          <w:sz w:val="24"/>
          <w:szCs w:val="28"/>
        </w:rPr>
        <w:t>.</w:t>
      </w:r>
    </w:p>
    <w:p w14:paraId="34BA3A1D" w14:textId="77777777" w:rsidR="008E3EF4" w:rsidRPr="008E3EF4" w:rsidRDefault="008E3EF4" w:rsidP="00A2558F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73A6AE59" w14:textId="4F316345" w:rsidR="00D44064" w:rsidRDefault="00A2558F" w:rsidP="00A2558F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Q6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D44064">
        <w:rPr>
          <w:sz w:val="24"/>
          <w:szCs w:val="28"/>
        </w:rPr>
        <w:t xml:space="preserve">D’après l’énoncé, on admet que </w:t>
      </w:r>
      <w:r w:rsidR="00D44064" w:rsidRPr="00D44064">
        <w:rPr>
          <w:position w:val="-14"/>
          <w:sz w:val="24"/>
          <w:szCs w:val="28"/>
        </w:rPr>
        <w:object w:dxaOrig="1980" w:dyaOrig="380" w14:anchorId="04458702">
          <v:shape id="_x0000_i1034" type="#_x0000_t75" style="width:99pt;height:19.2pt" o:ole="">
            <v:imagedata r:id="rId25" o:title=""/>
          </v:shape>
          <o:OLEObject Type="Embed" ProgID="Equation.DSMT4" ShapeID="_x0000_i1034" DrawAspect="Content" ObjectID="_1771331218" r:id="rId26"/>
        </w:object>
      </w:r>
    </w:p>
    <w:p w14:paraId="7AFDDBFE" w14:textId="5017DB94" w:rsidR="00D44064" w:rsidRDefault="00D44064" w:rsidP="00A2558F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Or </w:t>
      </w:r>
      <w:r w:rsidRPr="00D44064">
        <w:rPr>
          <w:position w:val="-10"/>
          <w:sz w:val="24"/>
          <w:szCs w:val="28"/>
        </w:rPr>
        <w:object w:dxaOrig="1060" w:dyaOrig="320" w14:anchorId="1324F7F6">
          <v:shape id="_x0000_i1035" type="#_x0000_t75" style="width:52.8pt;height:15.6pt" o:ole="">
            <v:imagedata r:id="rId27" o:title=""/>
          </v:shape>
          <o:OLEObject Type="Embed" ProgID="Equation.DSMT4" ShapeID="_x0000_i1035" DrawAspect="Content" ObjectID="_1771331219" r:id="rId28"/>
        </w:object>
      </w:r>
      <w:r w:rsidR="00861DC0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donc </w:t>
      </w:r>
      <w:r w:rsidRPr="00D44064">
        <w:rPr>
          <w:position w:val="-32"/>
          <w:sz w:val="24"/>
          <w:szCs w:val="28"/>
        </w:rPr>
        <w:object w:dxaOrig="3460" w:dyaOrig="720" w14:anchorId="716460BE">
          <v:shape id="_x0000_i1036" type="#_x0000_t75" style="width:172.2pt;height:36pt" o:ole="">
            <v:imagedata r:id="rId29" o:title=""/>
          </v:shape>
          <o:OLEObject Type="Embed" ProgID="Equation.DSMT4" ShapeID="_x0000_i1036" DrawAspect="Content" ObjectID="_1771331220" r:id="rId30"/>
        </w:object>
      </w:r>
    </w:p>
    <w:p w14:paraId="180A881A" w14:textId="1746FB4D" w:rsidR="00D44064" w:rsidRPr="0090656D" w:rsidRDefault="00D44064" w:rsidP="00A2558F">
      <w:pPr>
        <w:pStyle w:val="Paragraphedeliste"/>
        <w:spacing w:line="276" w:lineRule="auto"/>
        <w:ind w:left="0"/>
        <w:jc w:val="both"/>
        <w:rPr>
          <w:color w:val="0000FF"/>
          <w:sz w:val="24"/>
          <w:szCs w:val="28"/>
        </w:rPr>
      </w:pPr>
      <w:r w:rsidRPr="00D44064">
        <w:rPr>
          <w:position w:val="-28"/>
          <w:sz w:val="24"/>
          <w:szCs w:val="28"/>
        </w:rPr>
        <w:object w:dxaOrig="5679" w:dyaOrig="700" w14:anchorId="14C85B19">
          <v:shape id="_x0000_i1037" type="#_x0000_t75" style="width:283.8pt;height:34.8pt" o:ole="">
            <v:imagedata r:id="rId31" o:title=""/>
          </v:shape>
          <o:OLEObject Type="Embed" ProgID="Equation.DSMT4" ShapeID="_x0000_i1037" DrawAspect="Content" ObjectID="_1771331221" r:id="rId32"/>
        </w:object>
      </w:r>
      <w:r w:rsidRPr="00D44064">
        <w:rPr>
          <w:color w:val="0000FF"/>
          <w:sz w:val="24"/>
          <w:szCs w:val="28"/>
        </w:rPr>
        <w:t>(</w:t>
      </w:r>
      <w:proofErr w:type="gramStart"/>
      <w:r w:rsidRPr="00D44064">
        <w:rPr>
          <w:color w:val="0000FF"/>
          <w:sz w:val="24"/>
          <w:szCs w:val="28"/>
        </w:rPr>
        <w:t>ce</w:t>
      </w:r>
      <w:proofErr w:type="gramEnd"/>
      <w:r w:rsidRPr="00D44064">
        <w:rPr>
          <w:color w:val="0000FF"/>
          <w:sz w:val="24"/>
          <w:szCs w:val="28"/>
        </w:rPr>
        <w:t xml:space="preserve"> qui correspond à la valeur dans la question suivante …)</w:t>
      </w:r>
    </w:p>
    <w:p w14:paraId="7C6A5E6C" w14:textId="77777777" w:rsidR="00861DC0" w:rsidRPr="00861DC0" w:rsidRDefault="00861DC0" w:rsidP="00861DC0">
      <w:pPr>
        <w:pStyle w:val="Paragraphedeliste"/>
        <w:ind w:left="0"/>
        <w:contextualSpacing w:val="0"/>
        <w:jc w:val="both"/>
        <w:rPr>
          <w:sz w:val="24"/>
          <w:szCs w:val="28"/>
        </w:rPr>
      </w:pPr>
    </w:p>
    <w:p w14:paraId="7B415257" w14:textId="10E6AC3D" w:rsidR="00D44064" w:rsidRDefault="00D44064" w:rsidP="00A2558F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Q7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D’après</w:t>
      </w:r>
      <w:r w:rsidR="0090656D">
        <w:rPr>
          <w:sz w:val="24"/>
          <w:szCs w:val="28"/>
        </w:rPr>
        <w:t xml:space="preserve"> l’énoncé, </w:t>
      </w:r>
      <w:r w:rsidR="0090656D" w:rsidRPr="0090656D">
        <w:rPr>
          <w:position w:val="-30"/>
          <w:sz w:val="24"/>
          <w:szCs w:val="28"/>
        </w:rPr>
        <w:object w:dxaOrig="1300" w:dyaOrig="680" w14:anchorId="0EB88533">
          <v:shape id="_x0000_i1038" type="#_x0000_t75" style="width:64.8pt;height:33.6pt" o:ole="">
            <v:imagedata r:id="rId33" o:title=""/>
          </v:shape>
          <o:OLEObject Type="Embed" ProgID="Equation.DSMT4" ShapeID="_x0000_i1038" DrawAspect="Content" ObjectID="_1771331222" r:id="rId34"/>
        </w:object>
      </w:r>
      <w:r w:rsidR="00861DC0">
        <w:rPr>
          <w:sz w:val="24"/>
          <w:szCs w:val="28"/>
        </w:rPr>
        <w:t xml:space="preserve"> </w:t>
      </w:r>
      <w:r w:rsidR="0090656D">
        <w:rPr>
          <w:sz w:val="24"/>
          <w:szCs w:val="28"/>
        </w:rPr>
        <w:t xml:space="preserve">donc </w:t>
      </w:r>
      <w:r w:rsidR="0090656D" w:rsidRPr="0090656D">
        <w:rPr>
          <w:position w:val="-24"/>
          <w:sz w:val="24"/>
          <w:szCs w:val="28"/>
        </w:rPr>
        <w:object w:dxaOrig="3840" w:dyaOrig="620" w14:anchorId="487FAA6F">
          <v:shape id="_x0000_i1039" type="#_x0000_t75" style="width:191.4pt;height:31.2pt" o:ole="">
            <v:imagedata r:id="rId35" o:title=""/>
          </v:shape>
          <o:OLEObject Type="Embed" ProgID="Equation.DSMT4" ShapeID="_x0000_i1039" DrawAspect="Content" ObjectID="_1771331223" r:id="rId36"/>
        </w:object>
      </w:r>
      <w:r w:rsidR="0090656D">
        <w:rPr>
          <w:sz w:val="24"/>
          <w:szCs w:val="28"/>
        </w:rPr>
        <w:t>par jour</w:t>
      </w:r>
    </w:p>
    <w:p w14:paraId="1D49130A" w14:textId="56E38DFB" w:rsidR="00D44064" w:rsidRPr="009A1D63" w:rsidRDefault="0090656D" w:rsidP="0090656D">
      <w:pPr>
        <w:pStyle w:val="Paragraphedeliste"/>
        <w:tabs>
          <w:tab w:val="left" w:pos="5306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L’isolation des cuves du méthanier étudié est donc de moins bonne qualité que celle du LNG </w:t>
      </w:r>
      <w:proofErr w:type="spellStart"/>
      <w:r>
        <w:rPr>
          <w:sz w:val="24"/>
          <w:szCs w:val="28"/>
        </w:rPr>
        <w:t>Endeavor</w:t>
      </w:r>
      <w:proofErr w:type="spellEnd"/>
      <w:r>
        <w:rPr>
          <w:sz w:val="24"/>
          <w:szCs w:val="28"/>
        </w:rPr>
        <w:t xml:space="preserve"> dont le BOR est égal à 0,09 % par jour.</w:t>
      </w:r>
    </w:p>
    <w:sectPr w:rsidR="00D44064" w:rsidRPr="009A1D63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2635">
    <w:abstractNumId w:val="1"/>
  </w:num>
  <w:num w:numId="2" w16cid:durableId="12155099">
    <w:abstractNumId w:val="3"/>
  </w:num>
  <w:num w:numId="3" w16cid:durableId="489440712">
    <w:abstractNumId w:val="4"/>
  </w:num>
  <w:num w:numId="4" w16cid:durableId="2135709506">
    <w:abstractNumId w:val="2"/>
  </w:num>
  <w:num w:numId="5" w16cid:durableId="7237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42161"/>
    <w:rsid w:val="000529F4"/>
    <w:rsid w:val="00054B31"/>
    <w:rsid w:val="000738ED"/>
    <w:rsid w:val="00084A05"/>
    <w:rsid w:val="000936C6"/>
    <w:rsid w:val="000965EB"/>
    <w:rsid w:val="000A1567"/>
    <w:rsid w:val="000C4317"/>
    <w:rsid w:val="000C7197"/>
    <w:rsid w:val="000D24E0"/>
    <w:rsid w:val="000D6E2B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5466"/>
    <w:rsid w:val="00136E1B"/>
    <w:rsid w:val="0014110D"/>
    <w:rsid w:val="00153305"/>
    <w:rsid w:val="0015517A"/>
    <w:rsid w:val="00167682"/>
    <w:rsid w:val="00174B75"/>
    <w:rsid w:val="001838A3"/>
    <w:rsid w:val="001865DF"/>
    <w:rsid w:val="00186E88"/>
    <w:rsid w:val="001944FB"/>
    <w:rsid w:val="001A27D3"/>
    <w:rsid w:val="001A67BA"/>
    <w:rsid w:val="001B38D1"/>
    <w:rsid w:val="001B5C3C"/>
    <w:rsid w:val="001C0F14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295B"/>
    <w:rsid w:val="002B4FC9"/>
    <w:rsid w:val="002C1B79"/>
    <w:rsid w:val="002C4F8B"/>
    <w:rsid w:val="002D0A76"/>
    <w:rsid w:val="002D42AA"/>
    <w:rsid w:val="002D7213"/>
    <w:rsid w:val="002D752C"/>
    <w:rsid w:val="002E29DF"/>
    <w:rsid w:val="002E58C2"/>
    <w:rsid w:val="002E7313"/>
    <w:rsid w:val="002F0D6D"/>
    <w:rsid w:val="0030164E"/>
    <w:rsid w:val="00306758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24E2"/>
    <w:rsid w:val="004846FC"/>
    <w:rsid w:val="00491FA6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303F6"/>
    <w:rsid w:val="00532F94"/>
    <w:rsid w:val="00535395"/>
    <w:rsid w:val="005438E0"/>
    <w:rsid w:val="0055099D"/>
    <w:rsid w:val="00552F69"/>
    <w:rsid w:val="0057214E"/>
    <w:rsid w:val="00584B5C"/>
    <w:rsid w:val="005855EE"/>
    <w:rsid w:val="00594277"/>
    <w:rsid w:val="0059619F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78C3"/>
    <w:rsid w:val="00620134"/>
    <w:rsid w:val="00630D66"/>
    <w:rsid w:val="006326D7"/>
    <w:rsid w:val="00657F15"/>
    <w:rsid w:val="00674824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7014BA"/>
    <w:rsid w:val="00705BD5"/>
    <w:rsid w:val="00707508"/>
    <w:rsid w:val="00715F95"/>
    <w:rsid w:val="00727955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C57EE"/>
    <w:rsid w:val="007D1446"/>
    <w:rsid w:val="007D14A5"/>
    <w:rsid w:val="007D30BC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644D"/>
    <w:rsid w:val="008567C8"/>
    <w:rsid w:val="00861DC0"/>
    <w:rsid w:val="00870978"/>
    <w:rsid w:val="00874167"/>
    <w:rsid w:val="0088136B"/>
    <w:rsid w:val="008931BB"/>
    <w:rsid w:val="00893CB9"/>
    <w:rsid w:val="008A63E3"/>
    <w:rsid w:val="008B5726"/>
    <w:rsid w:val="008C0FCD"/>
    <w:rsid w:val="008C5EDE"/>
    <w:rsid w:val="008C6F9C"/>
    <w:rsid w:val="008D54E2"/>
    <w:rsid w:val="008E1C32"/>
    <w:rsid w:val="008E2FB6"/>
    <w:rsid w:val="008E3EF4"/>
    <w:rsid w:val="008E5B1B"/>
    <w:rsid w:val="008E7ED2"/>
    <w:rsid w:val="00902983"/>
    <w:rsid w:val="0090520D"/>
    <w:rsid w:val="0090656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326"/>
    <w:rsid w:val="00970F55"/>
    <w:rsid w:val="0098073F"/>
    <w:rsid w:val="00985BBF"/>
    <w:rsid w:val="00986F51"/>
    <w:rsid w:val="009A0D36"/>
    <w:rsid w:val="009A1D63"/>
    <w:rsid w:val="009A4981"/>
    <w:rsid w:val="009C1457"/>
    <w:rsid w:val="009C3F43"/>
    <w:rsid w:val="009D556B"/>
    <w:rsid w:val="009E29EA"/>
    <w:rsid w:val="009E60AA"/>
    <w:rsid w:val="009E7E24"/>
    <w:rsid w:val="00A10686"/>
    <w:rsid w:val="00A2558F"/>
    <w:rsid w:val="00A317FB"/>
    <w:rsid w:val="00A35EA1"/>
    <w:rsid w:val="00A40333"/>
    <w:rsid w:val="00A44907"/>
    <w:rsid w:val="00A525D7"/>
    <w:rsid w:val="00A579E5"/>
    <w:rsid w:val="00A71013"/>
    <w:rsid w:val="00A80D2D"/>
    <w:rsid w:val="00A81A19"/>
    <w:rsid w:val="00A87039"/>
    <w:rsid w:val="00A948FF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5CA7"/>
    <w:rsid w:val="00BB0C92"/>
    <w:rsid w:val="00BB69B8"/>
    <w:rsid w:val="00BF1CF3"/>
    <w:rsid w:val="00BF2CB9"/>
    <w:rsid w:val="00BF4B3A"/>
    <w:rsid w:val="00C01B49"/>
    <w:rsid w:val="00C025E5"/>
    <w:rsid w:val="00C02ED5"/>
    <w:rsid w:val="00C15810"/>
    <w:rsid w:val="00C2665E"/>
    <w:rsid w:val="00C53560"/>
    <w:rsid w:val="00C56BDD"/>
    <w:rsid w:val="00C62B5A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E67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4064"/>
    <w:rsid w:val="00D461E7"/>
    <w:rsid w:val="00D46AC7"/>
    <w:rsid w:val="00D548B8"/>
    <w:rsid w:val="00D56656"/>
    <w:rsid w:val="00D61803"/>
    <w:rsid w:val="00D64F5C"/>
    <w:rsid w:val="00D67FD5"/>
    <w:rsid w:val="00D71569"/>
    <w:rsid w:val="00D71B29"/>
    <w:rsid w:val="00D942D0"/>
    <w:rsid w:val="00DA0531"/>
    <w:rsid w:val="00DA7616"/>
    <w:rsid w:val="00DA7B32"/>
    <w:rsid w:val="00DA7BA0"/>
    <w:rsid w:val="00DB2B0C"/>
    <w:rsid w:val="00DC1FCF"/>
    <w:rsid w:val="00DD5759"/>
    <w:rsid w:val="00DD60FD"/>
    <w:rsid w:val="00DE2532"/>
    <w:rsid w:val="00DE3F2C"/>
    <w:rsid w:val="00DE5E44"/>
    <w:rsid w:val="00DE7AAD"/>
    <w:rsid w:val="00DF4065"/>
    <w:rsid w:val="00E00297"/>
    <w:rsid w:val="00E03F15"/>
    <w:rsid w:val="00E13FD9"/>
    <w:rsid w:val="00E22871"/>
    <w:rsid w:val="00E24D08"/>
    <w:rsid w:val="00E267CF"/>
    <w:rsid w:val="00E31177"/>
    <w:rsid w:val="00E35B22"/>
    <w:rsid w:val="00E374FA"/>
    <w:rsid w:val="00E47E00"/>
    <w:rsid w:val="00E63C9F"/>
    <w:rsid w:val="00E74DFD"/>
    <w:rsid w:val="00E7600F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533E"/>
    <w:rsid w:val="00ED7C31"/>
    <w:rsid w:val="00EE3F01"/>
    <w:rsid w:val="00EE58E2"/>
    <w:rsid w:val="00EE5FC8"/>
    <w:rsid w:val="00EF3E5F"/>
    <w:rsid w:val="00EF5657"/>
    <w:rsid w:val="00EF7017"/>
    <w:rsid w:val="00F03462"/>
    <w:rsid w:val="00F06823"/>
    <w:rsid w:val="00F11B0B"/>
    <w:rsid w:val="00F1695A"/>
    <w:rsid w:val="00F178C2"/>
    <w:rsid w:val="00F17F4D"/>
    <w:rsid w:val="00F24D24"/>
    <w:rsid w:val="00F267DA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17</cp:revision>
  <cp:lastPrinted>2024-03-07T14:40:00Z</cp:lastPrinted>
  <dcterms:created xsi:type="dcterms:W3CDTF">2023-03-17T07:22:00Z</dcterms:created>
  <dcterms:modified xsi:type="dcterms:W3CDTF">2024-03-07T14:40:00Z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