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0CDFAA" w14:textId="3FD7CF85" w:rsidR="00040449" w:rsidRPr="002337B2" w:rsidRDefault="001E7045" w:rsidP="0087301A">
      <w:pPr>
        <w:pBdr>
          <w:top w:val="single" w:sz="4" w:space="1" w:color="auto"/>
          <w:left w:val="single" w:sz="4" w:space="4" w:color="auto"/>
          <w:bottom w:val="single" w:sz="4" w:space="1" w:color="auto"/>
          <w:right w:val="single" w:sz="4" w:space="4" w:color="auto"/>
        </w:pBdr>
        <w:tabs>
          <w:tab w:val="right" w:pos="10204"/>
        </w:tabs>
        <w:spacing w:after="0" w:line="240" w:lineRule="auto"/>
        <w:rPr>
          <w:rFonts w:ascii="Arial" w:hAnsi="Arial" w:cs="Arial"/>
          <w:b/>
          <w:bCs/>
          <w:sz w:val="24"/>
          <w:szCs w:val="24"/>
        </w:rPr>
      </w:pPr>
      <w:r w:rsidRPr="002337B2">
        <w:rPr>
          <w:rFonts w:ascii="Arial" w:hAnsi="Arial" w:cs="Arial"/>
          <w:b/>
          <w:bCs/>
          <w:sz w:val="24"/>
          <w:szCs w:val="24"/>
        </w:rPr>
        <w:t>Bac 202</w:t>
      </w:r>
      <w:r w:rsidR="00AE1E46" w:rsidRPr="002337B2">
        <w:rPr>
          <w:rFonts w:ascii="Arial" w:hAnsi="Arial" w:cs="Arial"/>
          <w:b/>
          <w:bCs/>
          <w:sz w:val="24"/>
          <w:szCs w:val="24"/>
        </w:rPr>
        <w:t>1</w:t>
      </w:r>
      <w:r w:rsidRPr="002337B2">
        <w:rPr>
          <w:rFonts w:ascii="Arial" w:hAnsi="Arial" w:cs="Arial"/>
          <w:b/>
          <w:bCs/>
          <w:sz w:val="24"/>
          <w:szCs w:val="24"/>
        </w:rPr>
        <w:t xml:space="preserve"> </w:t>
      </w:r>
      <w:r w:rsidR="0087301A" w:rsidRPr="002337B2">
        <w:rPr>
          <w:rFonts w:ascii="Arial" w:hAnsi="Arial" w:cs="Arial"/>
          <w:b/>
          <w:bCs/>
          <w:sz w:val="24"/>
          <w:szCs w:val="24"/>
        </w:rPr>
        <w:t>Amérique du Nord</w:t>
      </w:r>
      <w:r w:rsidRPr="002337B2">
        <w:rPr>
          <w:rFonts w:ascii="Arial" w:hAnsi="Arial" w:cs="Arial"/>
          <w:b/>
          <w:bCs/>
          <w:sz w:val="24"/>
          <w:szCs w:val="24"/>
        </w:rPr>
        <w:t xml:space="preserve"> </w:t>
      </w:r>
      <w:r w:rsidR="00AE1E46" w:rsidRPr="002337B2">
        <w:rPr>
          <w:rFonts w:ascii="Arial" w:hAnsi="Arial" w:cs="Arial"/>
          <w:b/>
          <w:bCs/>
          <w:sz w:val="24"/>
          <w:szCs w:val="24"/>
        </w:rPr>
        <w:t>Sujet 1</w:t>
      </w:r>
      <w:r w:rsidRPr="002337B2">
        <w:rPr>
          <w:rFonts w:ascii="Arial" w:hAnsi="Arial" w:cs="Arial"/>
          <w:b/>
          <w:bCs/>
          <w:sz w:val="24"/>
          <w:szCs w:val="24"/>
        </w:rPr>
        <w:tab/>
      </w:r>
      <w:hyperlink r:id="rId5" w:history="1">
        <w:r w:rsidRPr="002337B2">
          <w:rPr>
            <w:rStyle w:val="Lienhypertexte"/>
            <w:rFonts w:ascii="Arial" w:hAnsi="Arial" w:cs="Arial"/>
            <w:b/>
            <w:bCs/>
            <w:sz w:val="24"/>
            <w:szCs w:val="24"/>
          </w:rPr>
          <w:t>https://labolycee.org</w:t>
        </w:r>
      </w:hyperlink>
      <w:r w:rsidRPr="002337B2">
        <w:rPr>
          <w:rFonts w:ascii="Arial" w:hAnsi="Arial" w:cs="Arial"/>
          <w:b/>
          <w:bCs/>
          <w:sz w:val="24"/>
          <w:szCs w:val="24"/>
        </w:rPr>
        <w:t xml:space="preserve"> </w:t>
      </w:r>
    </w:p>
    <w:p w14:paraId="0689D52E" w14:textId="77777777" w:rsidR="00F0583B" w:rsidRPr="002337B2" w:rsidRDefault="00F0583B" w:rsidP="00C045DE">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p>
    <w:p w14:paraId="1B7917E5" w14:textId="75E01542" w:rsidR="00EB63DF" w:rsidRPr="002337B2" w:rsidRDefault="00EB63DF" w:rsidP="00C045DE">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sz w:val="24"/>
          <w:szCs w:val="24"/>
        </w:rPr>
      </w:pPr>
      <w:r w:rsidRPr="002337B2">
        <w:rPr>
          <w:rFonts w:ascii="Arial" w:hAnsi="Arial" w:cs="Arial"/>
          <w:b/>
          <w:bCs/>
          <w:sz w:val="24"/>
          <w:szCs w:val="24"/>
        </w:rPr>
        <w:t xml:space="preserve">EXERCICE </w:t>
      </w:r>
      <w:r w:rsidR="00CB468F" w:rsidRPr="002337B2">
        <w:rPr>
          <w:rFonts w:ascii="Arial" w:hAnsi="Arial" w:cs="Arial"/>
          <w:b/>
          <w:bCs/>
          <w:sz w:val="24"/>
          <w:szCs w:val="24"/>
        </w:rPr>
        <w:t>B</w:t>
      </w:r>
      <w:r w:rsidRPr="002337B2">
        <w:rPr>
          <w:rFonts w:ascii="Arial" w:hAnsi="Arial" w:cs="Arial"/>
          <w:b/>
          <w:bCs/>
          <w:sz w:val="24"/>
          <w:szCs w:val="24"/>
        </w:rPr>
        <w:t xml:space="preserve"> (</w:t>
      </w:r>
      <w:r w:rsidR="002C27A0" w:rsidRPr="002337B2">
        <w:rPr>
          <w:rFonts w:ascii="Arial" w:hAnsi="Arial" w:cs="Arial"/>
          <w:b/>
          <w:bCs/>
          <w:sz w:val="24"/>
          <w:szCs w:val="24"/>
        </w:rPr>
        <w:t>5</w:t>
      </w:r>
      <w:r w:rsidRPr="002337B2">
        <w:rPr>
          <w:rFonts w:ascii="Arial" w:hAnsi="Arial" w:cs="Arial"/>
          <w:b/>
          <w:bCs/>
          <w:sz w:val="24"/>
          <w:szCs w:val="24"/>
        </w:rPr>
        <w:t xml:space="preserve"> points)</w:t>
      </w:r>
    </w:p>
    <w:p w14:paraId="0F967BC5" w14:textId="482CF68C" w:rsidR="00EB63DF" w:rsidRPr="002337B2" w:rsidRDefault="00CB468F" w:rsidP="00C045DE">
      <w:pPr>
        <w:pBdr>
          <w:top w:val="single" w:sz="4" w:space="1" w:color="auto"/>
          <w:left w:val="single" w:sz="4" w:space="4" w:color="auto"/>
          <w:bottom w:val="single" w:sz="4" w:space="1" w:color="auto"/>
          <w:right w:val="single" w:sz="4" w:space="4" w:color="auto"/>
        </w:pBdr>
        <w:spacing w:after="0" w:line="240" w:lineRule="auto"/>
        <w:jc w:val="center"/>
        <w:rPr>
          <w:rFonts w:ascii="Arial" w:hAnsi="Arial" w:cs="Arial"/>
          <w:b/>
          <w:bCs/>
          <w:caps/>
          <w:sz w:val="24"/>
          <w:szCs w:val="24"/>
        </w:rPr>
      </w:pPr>
      <w:r w:rsidRPr="002337B2">
        <w:rPr>
          <w:rFonts w:ascii="Arial" w:hAnsi="Arial" w:cs="Arial"/>
          <w:b/>
          <w:bCs/>
          <w:caps/>
          <w:sz w:val="24"/>
          <w:szCs w:val="24"/>
        </w:rPr>
        <w:t>UN APPOrt de magnesium</w:t>
      </w:r>
    </w:p>
    <w:p w14:paraId="1DB3A635" w14:textId="77777777" w:rsidR="00CB468F" w:rsidRPr="002337B2" w:rsidRDefault="00CB468F" w:rsidP="00CB468F">
      <w:pPr>
        <w:spacing w:after="0" w:line="240" w:lineRule="auto"/>
        <w:jc w:val="both"/>
        <w:rPr>
          <w:rFonts w:ascii="Arial" w:hAnsi="Arial" w:cs="Arial"/>
          <w:sz w:val="24"/>
          <w:szCs w:val="24"/>
        </w:rPr>
      </w:pPr>
    </w:p>
    <w:p w14:paraId="45DFDCB6" w14:textId="4C3EBBB3" w:rsidR="00CB468F" w:rsidRPr="002337B2" w:rsidRDefault="00CB468F" w:rsidP="00CB468F">
      <w:pPr>
        <w:spacing w:after="0" w:line="240" w:lineRule="auto"/>
        <w:jc w:val="both"/>
        <w:rPr>
          <w:rFonts w:ascii="Arial" w:hAnsi="Arial" w:cs="Arial"/>
          <w:sz w:val="24"/>
          <w:szCs w:val="24"/>
        </w:rPr>
      </w:pPr>
      <w:r w:rsidRPr="002337B2">
        <w:rPr>
          <w:rFonts w:ascii="Arial" w:hAnsi="Arial" w:cs="Arial"/>
          <w:sz w:val="24"/>
          <w:szCs w:val="24"/>
        </w:rPr>
        <w:t>Le manque de magnésium dans l’organisme se manifeste par des contractures, des tremblements, une fatigue, une tétanie...</w:t>
      </w:r>
    </w:p>
    <w:p w14:paraId="5483E917" w14:textId="77777777" w:rsidR="00CB468F" w:rsidRPr="002337B2" w:rsidRDefault="00CB468F" w:rsidP="00CB468F">
      <w:pPr>
        <w:spacing w:after="0" w:line="240" w:lineRule="auto"/>
        <w:jc w:val="both"/>
        <w:rPr>
          <w:rFonts w:ascii="Arial" w:hAnsi="Arial" w:cs="Arial"/>
          <w:sz w:val="24"/>
          <w:szCs w:val="24"/>
        </w:rPr>
      </w:pPr>
    </w:p>
    <w:p w14:paraId="382305BD" w14:textId="44471E31" w:rsidR="00CB468F" w:rsidRPr="002337B2" w:rsidRDefault="00CB468F" w:rsidP="00CB468F">
      <w:pPr>
        <w:spacing w:after="0" w:line="240" w:lineRule="auto"/>
        <w:jc w:val="both"/>
        <w:rPr>
          <w:rFonts w:ascii="Arial" w:hAnsi="Arial" w:cs="Arial"/>
          <w:sz w:val="24"/>
          <w:szCs w:val="24"/>
        </w:rPr>
      </w:pPr>
      <w:r w:rsidRPr="002337B2">
        <w:rPr>
          <w:rFonts w:ascii="Arial" w:hAnsi="Arial" w:cs="Arial"/>
          <w:b/>
          <w:bCs/>
          <w:sz w:val="24"/>
          <w:szCs w:val="24"/>
        </w:rPr>
        <w:t>Donnée</w:t>
      </w:r>
      <w:r w:rsidRPr="002337B2">
        <w:rPr>
          <w:rFonts w:ascii="Arial" w:hAnsi="Arial" w:cs="Arial"/>
          <w:sz w:val="24"/>
          <w:szCs w:val="24"/>
        </w:rPr>
        <w:t xml:space="preserve"> : masse molaire du magnésium : </w:t>
      </w:r>
      <w:r w:rsidRPr="002337B2">
        <w:rPr>
          <w:rFonts w:ascii="Arial" w:hAnsi="Arial" w:cs="Arial"/>
          <w:i/>
          <w:iCs/>
          <w:sz w:val="24"/>
          <w:szCs w:val="24"/>
        </w:rPr>
        <w:t>M</w:t>
      </w:r>
      <w:r w:rsidRPr="002337B2">
        <w:rPr>
          <w:rFonts w:ascii="Arial" w:hAnsi="Arial" w:cs="Arial"/>
          <w:sz w:val="24"/>
          <w:szCs w:val="24"/>
        </w:rPr>
        <w:t>(Mg) = 24,3 g.mol</w:t>
      </w:r>
      <w:r w:rsidRPr="002337B2">
        <w:rPr>
          <w:rFonts w:ascii="Arial" w:hAnsi="Arial" w:cs="Arial"/>
          <w:sz w:val="24"/>
          <w:szCs w:val="24"/>
          <w:vertAlign w:val="superscript"/>
        </w:rPr>
        <w:t>-1</w:t>
      </w:r>
      <w:r w:rsidRPr="002337B2">
        <w:rPr>
          <w:rFonts w:ascii="Arial" w:hAnsi="Arial" w:cs="Arial"/>
          <w:sz w:val="24"/>
          <w:szCs w:val="24"/>
        </w:rPr>
        <w:t>.</w:t>
      </w:r>
    </w:p>
    <w:p w14:paraId="6DFA8959" w14:textId="77777777" w:rsidR="00CB468F" w:rsidRPr="002337B2" w:rsidRDefault="00CB468F" w:rsidP="00CB468F">
      <w:pPr>
        <w:spacing w:after="0" w:line="240" w:lineRule="auto"/>
        <w:jc w:val="both"/>
        <w:rPr>
          <w:rFonts w:ascii="Arial" w:hAnsi="Arial" w:cs="Arial"/>
          <w:sz w:val="24"/>
          <w:szCs w:val="24"/>
        </w:rPr>
      </w:pPr>
    </w:p>
    <w:p w14:paraId="329FF269" w14:textId="54110003" w:rsidR="00CB468F" w:rsidRPr="002337B2" w:rsidRDefault="00CB468F" w:rsidP="00CB468F">
      <w:pPr>
        <w:spacing w:after="0" w:line="240" w:lineRule="auto"/>
        <w:jc w:val="both"/>
        <w:rPr>
          <w:rFonts w:ascii="Arial" w:hAnsi="Arial" w:cs="Arial"/>
          <w:sz w:val="24"/>
          <w:szCs w:val="24"/>
        </w:rPr>
      </w:pPr>
      <w:r w:rsidRPr="002337B2">
        <w:rPr>
          <w:rFonts w:ascii="Arial" w:hAnsi="Arial" w:cs="Arial"/>
          <w:sz w:val="24"/>
          <w:szCs w:val="24"/>
        </w:rPr>
        <w:t>On s’intéresse à un médicament qui aide à combler ce manque en apportant le magnésium sous forme d’ions magnésium Mg</w:t>
      </w:r>
      <w:r w:rsidRPr="002337B2">
        <w:rPr>
          <w:rFonts w:ascii="Arial" w:hAnsi="Arial" w:cs="Arial"/>
          <w:sz w:val="24"/>
          <w:szCs w:val="24"/>
          <w:vertAlign w:val="superscript"/>
        </w:rPr>
        <w:t>2+</w:t>
      </w:r>
      <w:r w:rsidRPr="002337B2">
        <w:rPr>
          <w:rFonts w:ascii="Arial" w:hAnsi="Arial" w:cs="Arial"/>
          <w:sz w:val="24"/>
          <w:szCs w:val="24"/>
        </w:rPr>
        <w:t>(aq) contenus dans des comprimés. Le but de cet exercice est de déterminer le nombre de comprimés de ce médicament qu'un patient pourrait prendre chaque jour pour compenser ce manque de magnésium.</w:t>
      </w:r>
    </w:p>
    <w:p w14:paraId="7A2CAF85" w14:textId="77777777" w:rsidR="00CB468F" w:rsidRPr="002337B2" w:rsidRDefault="00CB468F" w:rsidP="00CB468F">
      <w:pPr>
        <w:spacing w:after="0" w:line="240" w:lineRule="auto"/>
        <w:jc w:val="both"/>
        <w:rPr>
          <w:rFonts w:ascii="Arial" w:hAnsi="Arial" w:cs="Arial"/>
          <w:sz w:val="24"/>
          <w:szCs w:val="24"/>
        </w:rPr>
      </w:pPr>
    </w:p>
    <w:p w14:paraId="3D237C50" w14:textId="77777777" w:rsidR="00CB468F" w:rsidRPr="002337B2" w:rsidRDefault="00CB468F" w:rsidP="00CB468F">
      <w:pPr>
        <w:spacing w:after="0" w:line="240" w:lineRule="auto"/>
        <w:jc w:val="both"/>
        <w:rPr>
          <w:rFonts w:ascii="Arial" w:hAnsi="Arial" w:cs="Arial"/>
          <w:sz w:val="24"/>
          <w:szCs w:val="24"/>
        </w:rPr>
      </w:pPr>
      <w:r w:rsidRPr="002337B2">
        <w:rPr>
          <w:rFonts w:ascii="Arial" w:hAnsi="Arial" w:cs="Arial"/>
          <w:sz w:val="24"/>
          <w:szCs w:val="24"/>
        </w:rPr>
        <w:t>Pour cela on réalise un protocole expérimental en deux étapes :</w:t>
      </w:r>
    </w:p>
    <w:p w14:paraId="562F0BFE" w14:textId="77777777" w:rsidR="00CB468F" w:rsidRPr="002337B2" w:rsidRDefault="00CB468F" w:rsidP="00CB468F">
      <w:pPr>
        <w:spacing w:after="0" w:line="240" w:lineRule="auto"/>
        <w:jc w:val="both"/>
        <w:rPr>
          <w:rFonts w:ascii="Arial" w:hAnsi="Arial" w:cs="Arial"/>
          <w:sz w:val="24"/>
          <w:szCs w:val="24"/>
        </w:rPr>
      </w:pPr>
    </w:p>
    <w:p w14:paraId="1564DE8F" w14:textId="77777777" w:rsidR="00CB468F" w:rsidRPr="002337B2" w:rsidRDefault="00CB468F" w:rsidP="00CB468F">
      <w:pPr>
        <w:spacing w:after="0" w:line="240" w:lineRule="auto"/>
        <w:jc w:val="both"/>
        <w:rPr>
          <w:rFonts w:ascii="Arial" w:hAnsi="Arial" w:cs="Arial"/>
          <w:b/>
          <w:bCs/>
          <w:sz w:val="24"/>
          <w:szCs w:val="24"/>
        </w:rPr>
      </w:pPr>
      <w:r w:rsidRPr="002337B2">
        <w:rPr>
          <w:rFonts w:ascii="Arial" w:hAnsi="Arial" w:cs="Arial"/>
          <w:b/>
          <w:bCs/>
          <w:sz w:val="24"/>
          <w:szCs w:val="24"/>
          <w:u w:val="single"/>
        </w:rPr>
        <w:t>Première étape</w:t>
      </w:r>
      <w:r w:rsidRPr="002337B2">
        <w:rPr>
          <w:rFonts w:ascii="Arial" w:hAnsi="Arial" w:cs="Arial"/>
          <w:b/>
          <w:bCs/>
          <w:sz w:val="24"/>
          <w:szCs w:val="24"/>
        </w:rPr>
        <w:t xml:space="preserve"> : substitution des ions magnésium dans la résine échangeuse d’ions.</w:t>
      </w:r>
    </w:p>
    <w:p w14:paraId="24AFB9DF" w14:textId="77777777" w:rsidR="00CB468F" w:rsidRPr="002337B2" w:rsidRDefault="00CB468F" w:rsidP="00CB468F">
      <w:pPr>
        <w:spacing w:after="0" w:line="240" w:lineRule="auto"/>
        <w:jc w:val="both"/>
        <w:rPr>
          <w:rFonts w:ascii="Arial" w:hAnsi="Arial" w:cs="Arial"/>
          <w:b/>
          <w:bCs/>
          <w:sz w:val="24"/>
          <w:szCs w:val="24"/>
        </w:rPr>
      </w:pPr>
    </w:p>
    <w:p w14:paraId="59BAD117" w14:textId="77777777" w:rsidR="00CB468F" w:rsidRPr="002337B2" w:rsidRDefault="00CB468F" w:rsidP="00CB468F">
      <w:pPr>
        <w:spacing w:after="0" w:line="240" w:lineRule="auto"/>
        <w:jc w:val="both"/>
        <w:rPr>
          <w:rFonts w:ascii="Arial" w:hAnsi="Arial" w:cs="Arial"/>
          <w:sz w:val="24"/>
          <w:szCs w:val="24"/>
        </w:rPr>
      </w:pPr>
      <w:r w:rsidRPr="002337B2">
        <w:rPr>
          <w:rFonts w:ascii="Arial" w:hAnsi="Arial" w:cs="Arial"/>
          <w:sz w:val="24"/>
          <w:szCs w:val="24"/>
        </w:rPr>
        <w:t>On prépare, par dissolution d’un comprimé du médicament dans une fiole jaugée, un volume</w:t>
      </w:r>
    </w:p>
    <w:p w14:paraId="6EF44195" w14:textId="636573E3" w:rsidR="00CB468F" w:rsidRPr="002337B2" w:rsidRDefault="00CB468F" w:rsidP="00CB468F">
      <w:pPr>
        <w:spacing w:after="0" w:line="240" w:lineRule="auto"/>
        <w:jc w:val="both"/>
        <w:rPr>
          <w:rFonts w:ascii="Arial" w:hAnsi="Arial" w:cs="Arial"/>
          <w:sz w:val="24"/>
          <w:szCs w:val="24"/>
        </w:rPr>
      </w:pPr>
      <w:r w:rsidRPr="00045384">
        <w:rPr>
          <w:rFonts w:ascii="Arial" w:hAnsi="Arial" w:cs="Arial"/>
          <w:i/>
          <w:iCs/>
          <w:sz w:val="24"/>
          <w:szCs w:val="24"/>
        </w:rPr>
        <w:t>V</w:t>
      </w:r>
      <w:r w:rsidR="00045384">
        <w:rPr>
          <w:rFonts w:ascii="Arial" w:hAnsi="Arial" w:cs="Arial"/>
          <w:sz w:val="24"/>
          <w:szCs w:val="24"/>
        </w:rPr>
        <w:t xml:space="preserve"> </w:t>
      </w:r>
      <w:r w:rsidRPr="002337B2">
        <w:rPr>
          <w:rFonts w:ascii="Arial" w:hAnsi="Arial" w:cs="Arial"/>
          <w:sz w:val="24"/>
          <w:szCs w:val="24"/>
        </w:rPr>
        <w:t>=</w:t>
      </w:r>
      <w:r w:rsidR="00045384">
        <w:rPr>
          <w:rFonts w:ascii="Arial" w:hAnsi="Arial" w:cs="Arial"/>
          <w:sz w:val="24"/>
          <w:szCs w:val="24"/>
        </w:rPr>
        <w:t xml:space="preserve"> </w:t>
      </w:r>
      <w:r w:rsidRPr="002337B2">
        <w:rPr>
          <w:rFonts w:ascii="Arial" w:hAnsi="Arial" w:cs="Arial"/>
          <w:sz w:val="24"/>
          <w:szCs w:val="24"/>
        </w:rPr>
        <w:t>250,0 mL d’une solution aqueuse notée S.</w:t>
      </w:r>
    </w:p>
    <w:p w14:paraId="1C9D3AD7" w14:textId="77777777" w:rsidR="00CB468F" w:rsidRPr="002337B2" w:rsidRDefault="00CB468F" w:rsidP="00CB468F">
      <w:pPr>
        <w:spacing w:after="0" w:line="240" w:lineRule="auto"/>
        <w:jc w:val="both"/>
        <w:rPr>
          <w:rFonts w:ascii="Arial" w:hAnsi="Arial" w:cs="Arial"/>
          <w:sz w:val="24"/>
          <w:szCs w:val="24"/>
        </w:rPr>
      </w:pPr>
    </w:p>
    <w:p w14:paraId="2B84F65A" w14:textId="11502976" w:rsidR="00CB468F" w:rsidRPr="002337B2" w:rsidRDefault="00CB468F" w:rsidP="00CB468F">
      <w:pPr>
        <w:spacing w:after="0" w:line="240" w:lineRule="auto"/>
        <w:jc w:val="both"/>
        <w:rPr>
          <w:rFonts w:ascii="Arial" w:hAnsi="Arial" w:cs="Arial"/>
          <w:sz w:val="24"/>
          <w:szCs w:val="24"/>
        </w:rPr>
      </w:pPr>
      <w:r w:rsidRPr="002337B2">
        <w:rPr>
          <w:rFonts w:ascii="Arial" w:hAnsi="Arial" w:cs="Arial"/>
          <w:sz w:val="24"/>
          <w:szCs w:val="24"/>
        </w:rPr>
        <w:t xml:space="preserve">On introduit un échantillon de volume </w:t>
      </w:r>
      <w:r w:rsidRPr="00045384">
        <w:rPr>
          <w:rFonts w:ascii="Arial" w:hAnsi="Arial" w:cs="Arial"/>
          <w:i/>
          <w:iCs/>
          <w:sz w:val="24"/>
          <w:szCs w:val="24"/>
        </w:rPr>
        <w:t>V</w:t>
      </w:r>
      <w:r w:rsidRPr="002337B2">
        <w:rPr>
          <w:rFonts w:ascii="Arial" w:hAnsi="Arial" w:cs="Arial"/>
          <w:sz w:val="24"/>
          <w:szCs w:val="24"/>
          <w:vertAlign w:val="subscript"/>
        </w:rPr>
        <w:t xml:space="preserve">1 </w:t>
      </w:r>
      <w:r w:rsidRPr="002337B2">
        <w:rPr>
          <w:rFonts w:ascii="Arial" w:hAnsi="Arial" w:cs="Arial"/>
          <w:sz w:val="24"/>
          <w:szCs w:val="24"/>
        </w:rPr>
        <w:t>= 25,0 mL de solution S par le haut d’une colonne contenant une résine. Celle-ci est constituée de billes poreuses saturées en ions oxonium H</w:t>
      </w:r>
      <w:r w:rsidRPr="002337B2">
        <w:rPr>
          <w:rFonts w:ascii="Arial" w:hAnsi="Arial" w:cs="Arial"/>
          <w:sz w:val="24"/>
          <w:szCs w:val="24"/>
          <w:vertAlign w:val="subscript"/>
        </w:rPr>
        <w:t>3</w:t>
      </w:r>
      <w:r w:rsidRPr="002337B2">
        <w:rPr>
          <w:rFonts w:ascii="Arial" w:hAnsi="Arial" w:cs="Arial"/>
          <w:sz w:val="24"/>
          <w:szCs w:val="24"/>
        </w:rPr>
        <w:t>O</w:t>
      </w:r>
      <w:r w:rsidRPr="002337B2">
        <w:rPr>
          <w:rFonts w:ascii="Arial" w:hAnsi="Arial" w:cs="Arial"/>
          <w:sz w:val="24"/>
          <w:szCs w:val="24"/>
          <w:vertAlign w:val="superscript"/>
        </w:rPr>
        <w:t>+</w:t>
      </w:r>
      <w:r w:rsidRPr="002337B2">
        <w:rPr>
          <w:rFonts w:ascii="Arial" w:hAnsi="Arial" w:cs="Arial"/>
          <w:sz w:val="24"/>
          <w:szCs w:val="24"/>
        </w:rPr>
        <w:t xml:space="preserve">(aq) échangeables. Au contact de la résine, tous les ions magnésium présents dans l’échantillon vont s’échanger avec les ions oxonium et prendre </w:t>
      </w:r>
      <w:r w:rsidR="00E76E2E">
        <w:rPr>
          <w:rFonts w:ascii="Arial" w:hAnsi="Arial" w:cs="Arial"/>
          <w:sz w:val="24"/>
          <w:szCs w:val="24"/>
        </w:rPr>
        <w:t>l</w:t>
      </w:r>
      <w:r w:rsidRPr="002337B2">
        <w:rPr>
          <w:rFonts w:ascii="Arial" w:hAnsi="Arial" w:cs="Arial"/>
          <w:sz w:val="24"/>
          <w:szCs w:val="24"/>
        </w:rPr>
        <w:t>eur place sur la résine. La solution recueillie dans un bécher après le passage dans la résine est appelée l’</w:t>
      </w:r>
      <w:proofErr w:type="spellStart"/>
      <w:r w:rsidRPr="002337B2">
        <w:rPr>
          <w:rFonts w:ascii="Arial" w:hAnsi="Arial" w:cs="Arial"/>
          <w:sz w:val="24"/>
          <w:szCs w:val="24"/>
        </w:rPr>
        <w:t>éluat</w:t>
      </w:r>
      <w:proofErr w:type="spellEnd"/>
      <w:r w:rsidRPr="002337B2">
        <w:rPr>
          <w:rFonts w:ascii="Arial" w:hAnsi="Arial" w:cs="Arial"/>
          <w:sz w:val="24"/>
          <w:szCs w:val="24"/>
        </w:rPr>
        <w:t>.</w:t>
      </w:r>
    </w:p>
    <w:p w14:paraId="26EBB30A" w14:textId="5D62A64E" w:rsidR="00CB468F" w:rsidRPr="002337B2" w:rsidRDefault="00CB468F" w:rsidP="00CB468F">
      <w:pPr>
        <w:spacing w:after="0" w:line="240" w:lineRule="auto"/>
        <w:jc w:val="both"/>
        <w:rPr>
          <w:rFonts w:ascii="Arial" w:hAnsi="Arial" w:cs="Arial"/>
          <w:sz w:val="24"/>
          <w:szCs w:val="24"/>
        </w:rPr>
      </w:pPr>
      <w:r w:rsidRPr="002337B2">
        <w:rPr>
          <w:rFonts w:ascii="Arial" w:hAnsi="Arial" w:cs="Arial"/>
          <w:noProof/>
          <w:sz w:val="24"/>
          <w:szCs w:val="24"/>
        </w:rPr>
        <w:drawing>
          <wp:anchor distT="0" distB="0" distL="114300" distR="114300" simplePos="0" relativeHeight="251658240" behindDoc="1" locked="0" layoutInCell="1" allowOverlap="1" wp14:anchorId="6CC125D7" wp14:editId="7AAF68DD">
            <wp:simplePos x="0" y="0"/>
            <wp:positionH relativeFrom="margin">
              <wp:align>center</wp:align>
            </wp:positionH>
            <wp:positionV relativeFrom="paragraph">
              <wp:posOffset>99060</wp:posOffset>
            </wp:positionV>
            <wp:extent cx="5116830" cy="3300730"/>
            <wp:effectExtent l="0" t="0" r="7620" b="0"/>
            <wp:wrapTight wrapText="bothSides">
              <wp:wrapPolygon edited="0">
                <wp:start x="0" y="0"/>
                <wp:lineTo x="0" y="21442"/>
                <wp:lineTo x="21552" y="21442"/>
                <wp:lineTo x="21552" y="0"/>
                <wp:lineTo x="0" y="0"/>
              </wp:wrapPolygon>
            </wp:wrapTight>
            <wp:docPr id="1050600015" name="Image 1" descr="Une image contenant texte, diagramme, capture d’écra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600015" name="Image 1" descr="Une image contenant texte, diagramme, capture d’écran&#10;&#10;Description générée automatiquement"/>
                    <pic:cNvPicPr/>
                  </pic:nvPicPr>
                  <pic:blipFill rotWithShape="1">
                    <a:blip r:embed="rId6">
                      <a:extLst>
                        <a:ext uri="{28A0092B-C50C-407E-A947-70E740481C1C}">
                          <a14:useLocalDpi xmlns:a14="http://schemas.microsoft.com/office/drawing/2010/main" val="0"/>
                        </a:ext>
                      </a:extLst>
                    </a:blip>
                    <a:srcRect t="2903" b="2542"/>
                    <a:stretch/>
                  </pic:blipFill>
                  <pic:spPr bwMode="auto">
                    <a:xfrm>
                      <a:off x="0" y="0"/>
                      <a:ext cx="5116830" cy="33007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B404007" w14:textId="4E90A21C" w:rsidR="00CB468F" w:rsidRPr="002337B2" w:rsidRDefault="00CB468F" w:rsidP="00CB468F">
      <w:pPr>
        <w:spacing w:after="0" w:line="240" w:lineRule="auto"/>
        <w:jc w:val="both"/>
        <w:rPr>
          <w:rFonts w:ascii="Arial" w:hAnsi="Arial" w:cs="Arial"/>
          <w:sz w:val="24"/>
          <w:szCs w:val="24"/>
        </w:rPr>
      </w:pPr>
    </w:p>
    <w:p w14:paraId="2AE52BA1" w14:textId="4235D444" w:rsidR="00CB468F" w:rsidRPr="002337B2" w:rsidRDefault="00CB468F" w:rsidP="00CB468F">
      <w:pPr>
        <w:spacing w:after="0" w:line="240" w:lineRule="auto"/>
        <w:jc w:val="both"/>
        <w:rPr>
          <w:rFonts w:ascii="Arial" w:hAnsi="Arial" w:cs="Arial"/>
          <w:sz w:val="24"/>
          <w:szCs w:val="24"/>
        </w:rPr>
      </w:pPr>
    </w:p>
    <w:p w14:paraId="34C78639" w14:textId="5ACC51EE" w:rsidR="00CB468F" w:rsidRPr="002337B2" w:rsidRDefault="00CB468F" w:rsidP="00CB468F">
      <w:pPr>
        <w:spacing w:after="0" w:line="240" w:lineRule="auto"/>
        <w:jc w:val="both"/>
        <w:rPr>
          <w:rFonts w:ascii="Arial" w:hAnsi="Arial" w:cs="Arial"/>
          <w:sz w:val="24"/>
          <w:szCs w:val="24"/>
        </w:rPr>
      </w:pPr>
    </w:p>
    <w:p w14:paraId="1895E6DC" w14:textId="77777777" w:rsidR="00CB468F" w:rsidRPr="002337B2" w:rsidRDefault="00CB468F" w:rsidP="00CB468F">
      <w:pPr>
        <w:spacing w:after="0" w:line="240" w:lineRule="auto"/>
        <w:jc w:val="both"/>
        <w:rPr>
          <w:rFonts w:ascii="Arial" w:hAnsi="Arial" w:cs="Arial"/>
          <w:sz w:val="24"/>
          <w:szCs w:val="24"/>
        </w:rPr>
      </w:pPr>
    </w:p>
    <w:p w14:paraId="41BEE068" w14:textId="77777777" w:rsidR="00CB468F" w:rsidRPr="002337B2" w:rsidRDefault="00CB468F" w:rsidP="00CB468F">
      <w:pPr>
        <w:spacing w:after="0" w:line="240" w:lineRule="auto"/>
        <w:jc w:val="both"/>
        <w:rPr>
          <w:rFonts w:ascii="Arial" w:hAnsi="Arial" w:cs="Arial"/>
          <w:sz w:val="24"/>
          <w:szCs w:val="24"/>
        </w:rPr>
      </w:pPr>
    </w:p>
    <w:p w14:paraId="5595CAED" w14:textId="77777777" w:rsidR="00CB468F" w:rsidRPr="002337B2" w:rsidRDefault="00CB468F" w:rsidP="00CB468F">
      <w:pPr>
        <w:spacing w:after="0" w:line="240" w:lineRule="auto"/>
        <w:jc w:val="both"/>
        <w:rPr>
          <w:rFonts w:ascii="Arial" w:hAnsi="Arial" w:cs="Arial"/>
          <w:sz w:val="24"/>
          <w:szCs w:val="24"/>
        </w:rPr>
      </w:pPr>
    </w:p>
    <w:p w14:paraId="2A50B4B6" w14:textId="77777777" w:rsidR="00CB468F" w:rsidRPr="002337B2" w:rsidRDefault="00CB468F" w:rsidP="00CB468F">
      <w:pPr>
        <w:spacing w:after="0" w:line="240" w:lineRule="auto"/>
        <w:jc w:val="both"/>
        <w:rPr>
          <w:rFonts w:ascii="Arial" w:hAnsi="Arial" w:cs="Arial"/>
          <w:sz w:val="24"/>
          <w:szCs w:val="24"/>
        </w:rPr>
      </w:pPr>
    </w:p>
    <w:p w14:paraId="06416F75" w14:textId="77777777" w:rsidR="00CB468F" w:rsidRPr="002337B2" w:rsidRDefault="00CB468F" w:rsidP="00CB468F">
      <w:pPr>
        <w:spacing w:after="0" w:line="240" w:lineRule="auto"/>
        <w:jc w:val="both"/>
        <w:rPr>
          <w:rFonts w:ascii="Arial" w:hAnsi="Arial" w:cs="Arial"/>
          <w:sz w:val="24"/>
          <w:szCs w:val="24"/>
        </w:rPr>
      </w:pPr>
    </w:p>
    <w:p w14:paraId="7BCCFEA5" w14:textId="77777777" w:rsidR="00CB468F" w:rsidRPr="002337B2" w:rsidRDefault="00CB468F" w:rsidP="00CB468F">
      <w:pPr>
        <w:spacing w:after="0" w:line="240" w:lineRule="auto"/>
        <w:jc w:val="both"/>
        <w:rPr>
          <w:rFonts w:ascii="Arial" w:hAnsi="Arial" w:cs="Arial"/>
          <w:sz w:val="24"/>
          <w:szCs w:val="24"/>
        </w:rPr>
      </w:pPr>
    </w:p>
    <w:p w14:paraId="1DE52850" w14:textId="77777777" w:rsidR="00CB468F" w:rsidRPr="002337B2" w:rsidRDefault="00CB468F" w:rsidP="00CB468F">
      <w:pPr>
        <w:spacing w:after="0" w:line="240" w:lineRule="auto"/>
        <w:jc w:val="both"/>
        <w:rPr>
          <w:rFonts w:ascii="Arial" w:hAnsi="Arial" w:cs="Arial"/>
          <w:sz w:val="24"/>
          <w:szCs w:val="24"/>
        </w:rPr>
      </w:pPr>
    </w:p>
    <w:p w14:paraId="1F06B3C8" w14:textId="77777777" w:rsidR="00CB468F" w:rsidRPr="002337B2" w:rsidRDefault="00CB468F" w:rsidP="00CB468F">
      <w:pPr>
        <w:spacing w:after="0" w:line="240" w:lineRule="auto"/>
        <w:jc w:val="both"/>
        <w:rPr>
          <w:rFonts w:ascii="Arial" w:hAnsi="Arial" w:cs="Arial"/>
          <w:sz w:val="24"/>
          <w:szCs w:val="24"/>
        </w:rPr>
      </w:pPr>
    </w:p>
    <w:p w14:paraId="2C445CDA" w14:textId="77777777" w:rsidR="00CB468F" w:rsidRPr="002337B2" w:rsidRDefault="00CB468F" w:rsidP="00CB468F">
      <w:pPr>
        <w:spacing w:after="0" w:line="240" w:lineRule="auto"/>
        <w:jc w:val="both"/>
        <w:rPr>
          <w:rFonts w:ascii="Arial" w:hAnsi="Arial" w:cs="Arial"/>
          <w:sz w:val="24"/>
          <w:szCs w:val="24"/>
        </w:rPr>
      </w:pPr>
    </w:p>
    <w:p w14:paraId="15812AE6" w14:textId="77777777" w:rsidR="00CB468F" w:rsidRPr="002337B2" w:rsidRDefault="00CB468F" w:rsidP="00CB468F">
      <w:pPr>
        <w:spacing w:after="0" w:line="240" w:lineRule="auto"/>
        <w:jc w:val="both"/>
        <w:rPr>
          <w:rFonts w:ascii="Arial" w:hAnsi="Arial" w:cs="Arial"/>
          <w:sz w:val="24"/>
          <w:szCs w:val="24"/>
        </w:rPr>
      </w:pPr>
    </w:p>
    <w:p w14:paraId="11CA88E4" w14:textId="77777777" w:rsidR="00CB468F" w:rsidRPr="002337B2" w:rsidRDefault="00CB468F" w:rsidP="00CB468F">
      <w:pPr>
        <w:spacing w:after="0" w:line="240" w:lineRule="auto"/>
        <w:jc w:val="both"/>
        <w:rPr>
          <w:rFonts w:ascii="Arial" w:hAnsi="Arial" w:cs="Arial"/>
          <w:sz w:val="24"/>
          <w:szCs w:val="24"/>
        </w:rPr>
      </w:pPr>
    </w:p>
    <w:p w14:paraId="655ABD32" w14:textId="77777777" w:rsidR="00CB468F" w:rsidRPr="002337B2" w:rsidRDefault="00CB468F" w:rsidP="00CB468F">
      <w:pPr>
        <w:spacing w:after="0" w:line="240" w:lineRule="auto"/>
        <w:jc w:val="both"/>
        <w:rPr>
          <w:rFonts w:ascii="Arial" w:hAnsi="Arial" w:cs="Arial"/>
          <w:sz w:val="24"/>
          <w:szCs w:val="24"/>
        </w:rPr>
      </w:pPr>
    </w:p>
    <w:p w14:paraId="10B79672" w14:textId="77777777" w:rsidR="00CB468F" w:rsidRPr="002337B2" w:rsidRDefault="00CB468F" w:rsidP="00CB468F">
      <w:pPr>
        <w:spacing w:after="0" w:line="240" w:lineRule="auto"/>
        <w:jc w:val="both"/>
        <w:rPr>
          <w:rFonts w:ascii="Arial" w:hAnsi="Arial" w:cs="Arial"/>
          <w:sz w:val="24"/>
          <w:szCs w:val="24"/>
        </w:rPr>
      </w:pPr>
    </w:p>
    <w:p w14:paraId="748DAAC1" w14:textId="77777777" w:rsidR="00CB468F" w:rsidRPr="002337B2" w:rsidRDefault="00CB468F" w:rsidP="00CB468F">
      <w:pPr>
        <w:spacing w:after="0" w:line="240" w:lineRule="auto"/>
        <w:jc w:val="both"/>
        <w:rPr>
          <w:rFonts w:ascii="Arial" w:hAnsi="Arial" w:cs="Arial"/>
          <w:sz w:val="24"/>
          <w:szCs w:val="24"/>
        </w:rPr>
      </w:pPr>
    </w:p>
    <w:p w14:paraId="23431DBA" w14:textId="77777777" w:rsidR="00CB468F" w:rsidRPr="002337B2" w:rsidRDefault="00CB468F" w:rsidP="00CB468F">
      <w:pPr>
        <w:spacing w:after="0" w:line="240" w:lineRule="auto"/>
        <w:jc w:val="both"/>
        <w:rPr>
          <w:rFonts w:ascii="Arial" w:hAnsi="Arial" w:cs="Arial"/>
          <w:sz w:val="24"/>
          <w:szCs w:val="24"/>
        </w:rPr>
      </w:pPr>
    </w:p>
    <w:p w14:paraId="5DB8CA08" w14:textId="77777777" w:rsidR="00CB468F" w:rsidRPr="002337B2" w:rsidRDefault="00CB468F" w:rsidP="00CB468F">
      <w:pPr>
        <w:spacing w:after="0" w:line="240" w:lineRule="auto"/>
        <w:jc w:val="both"/>
        <w:rPr>
          <w:rFonts w:ascii="Arial" w:hAnsi="Arial" w:cs="Arial"/>
          <w:sz w:val="24"/>
          <w:szCs w:val="24"/>
        </w:rPr>
      </w:pPr>
    </w:p>
    <w:p w14:paraId="6574FE2A" w14:textId="689F352D" w:rsidR="00CB468F" w:rsidRPr="002337B2" w:rsidRDefault="00CB468F" w:rsidP="00CB468F">
      <w:pPr>
        <w:spacing w:after="0" w:line="240" w:lineRule="auto"/>
        <w:jc w:val="both"/>
        <w:rPr>
          <w:rFonts w:ascii="Arial" w:hAnsi="Arial" w:cs="Arial"/>
          <w:sz w:val="24"/>
          <w:szCs w:val="24"/>
        </w:rPr>
      </w:pPr>
    </w:p>
    <w:p w14:paraId="544779B5" w14:textId="3DD6465A" w:rsidR="00CB468F" w:rsidRPr="002337B2" w:rsidRDefault="00CB468F" w:rsidP="00CB468F">
      <w:pPr>
        <w:spacing w:after="0" w:line="240" w:lineRule="auto"/>
        <w:jc w:val="center"/>
        <w:rPr>
          <w:rFonts w:ascii="Arial" w:hAnsi="Arial" w:cs="Arial"/>
          <w:sz w:val="24"/>
          <w:szCs w:val="24"/>
        </w:rPr>
      </w:pPr>
      <w:r w:rsidRPr="002337B2">
        <w:rPr>
          <w:rFonts w:ascii="Arial" w:hAnsi="Arial" w:cs="Arial"/>
          <w:sz w:val="24"/>
          <w:szCs w:val="24"/>
        </w:rPr>
        <w:t>Pour chaque ion magnésium fixé, la résine libère deux ions oxonium.</w:t>
      </w:r>
    </w:p>
    <w:p w14:paraId="5514F689" w14:textId="78141881" w:rsidR="00CB468F" w:rsidRPr="002337B2" w:rsidRDefault="00CB468F" w:rsidP="00CB468F">
      <w:pPr>
        <w:spacing w:after="0" w:line="240" w:lineRule="auto"/>
        <w:jc w:val="both"/>
        <w:rPr>
          <w:rFonts w:ascii="Arial" w:hAnsi="Arial" w:cs="Arial"/>
          <w:sz w:val="24"/>
          <w:szCs w:val="24"/>
        </w:rPr>
      </w:pPr>
      <w:r w:rsidRPr="002337B2">
        <w:rPr>
          <w:rFonts w:ascii="Arial" w:hAnsi="Arial" w:cs="Arial"/>
          <w:sz w:val="24"/>
          <w:szCs w:val="24"/>
        </w:rPr>
        <w:t xml:space="preserve"> </w:t>
      </w:r>
    </w:p>
    <w:p w14:paraId="6C422E98" w14:textId="77777777" w:rsidR="00CB468F" w:rsidRPr="002337B2" w:rsidRDefault="00CB468F">
      <w:pPr>
        <w:rPr>
          <w:rFonts w:ascii="Arial" w:hAnsi="Arial" w:cs="Arial"/>
          <w:sz w:val="24"/>
          <w:szCs w:val="24"/>
        </w:rPr>
      </w:pPr>
      <w:r w:rsidRPr="002337B2">
        <w:rPr>
          <w:rFonts w:ascii="Arial" w:hAnsi="Arial" w:cs="Arial"/>
          <w:sz w:val="24"/>
          <w:szCs w:val="24"/>
        </w:rPr>
        <w:br w:type="page"/>
      </w:r>
    </w:p>
    <w:p w14:paraId="2042C12F" w14:textId="2AF74C98" w:rsidR="00CB468F" w:rsidRPr="002337B2" w:rsidRDefault="00CB468F" w:rsidP="00CB468F">
      <w:pPr>
        <w:spacing w:after="0" w:line="240" w:lineRule="auto"/>
        <w:jc w:val="both"/>
        <w:rPr>
          <w:rFonts w:ascii="Arial" w:hAnsi="Arial" w:cs="Arial"/>
          <w:b/>
          <w:bCs/>
          <w:sz w:val="24"/>
          <w:szCs w:val="24"/>
        </w:rPr>
      </w:pPr>
      <w:r w:rsidRPr="002337B2">
        <w:rPr>
          <w:rFonts w:ascii="Arial" w:hAnsi="Arial" w:cs="Arial"/>
          <w:b/>
          <w:bCs/>
          <w:sz w:val="24"/>
          <w:szCs w:val="24"/>
          <w:u w:val="single"/>
        </w:rPr>
        <w:lastRenderedPageBreak/>
        <w:t>Deuxième étape</w:t>
      </w:r>
      <w:r w:rsidRPr="002337B2">
        <w:rPr>
          <w:rFonts w:ascii="Arial" w:hAnsi="Arial" w:cs="Arial"/>
          <w:b/>
          <w:bCs/>
          <w:sz w:val="24"/>
          <w:szCs w:val="24"/>
        </w:rPr>
        <w:t xml:space="preserve"> : dosage par titrage des ions oxonium dans l’</w:t>
      </w:r>
      <w:proofErr w:type="spellStart"/>
      <w:r w:rsidRPr="002337B2">
        <w:rPr>
          <w:rFonts w:ascii="Arial" w:hAnsi="Arial" w:cs="Arial"/>
          <w:b/>
          <w:bCs/>
          <w:sz w:val="24"/>
          <w:szCs w:val="24"/>
        </w:rPr>
        <w:t>éluat</w:t>
      </w:r>
      <w:proofErr w:type="spellEnd"/>
      <w:r w:rsidRPr="002337B2">
        <w:rPr>
          <w:rFonts w:ascii="Arial" w:hAnsi="Arial" w:cs="Arial"/>
          <w:b/>
          <w:bCs/>
          <w:sz w:val="24"/>
          <w:szCs w:val="24"/>
        </w:rPr>
        <w:t>.</w:t>
      </w:r>
    </w:p>
    <w:p w14:paraId="3BF9F2A1" w14:textId="0C8B770B" w:rsidR="00CB468F" w:rsidRPr="002337B2" w:rsidRDefault="00CB468F" w:rsidP="00CB468F">
      <w:pPr>
        <w:spacing w:after="0" w:line="240" w:lineRule="auto"/>
        <w:jc w:val="both"/>
        <w:rPr>
          <w:rFonts w:ascii="Arial" w:hAnsi="Arial" w:cs="Arial"/>
          <w:sz w:val="24"/>
          <w:szCs w:val="24"/>
        </w:rPr>
      </w:pPr>
    </w:p>
    <w:p w14:paraId="7EDDDA0F" w14:textId="77777777" w:rsidR="00CB468F" w:rsidRPr="002337B2" w:rsidRDefault="00CB468F" w:rsidP="00CB468F">
      <w:pPr>
        <w:spacing w:after="0" w:line="240" w:lineRule="auto"/>
        <w:jc w:val="both"/>
        <w:rPr>
          <w:rFonts w:ascii="Arial" w:hAnsi="Arial" w:cs="Arial"/>
          <w:sz w:val="24"/>
          <w:szCs w:val="24"/>
        </w:rPr>
      </w:pPr>
      <w:r w:rsidRPr="002337B2">
        <w:rPr>
          <w:rFonts w:ascii="Arial" w:hAnsi="Arial" w:cs="Arial"/>
          <w:sz w:val="24"/>
          <w:szCs w:val="24"/>
        </w:rPr>
        <w:t>On dose ensuite, par pH-métrie, les ions oxonium contenus dans l’</w:t>
      </w:r>
      <w:proofErr w:type="spellStart"/>
      <w:r w:rsidRPr="002337B2">
        <w:rPr>
          <w:rFonts w:ascii="Arial" w:hAnsi="Arial" w:cs="Arial"/>
          <w:sz w:val="24"/>
          <w:szCs w:val="24"/>
        </w:rPr>
        <w:t>éluat</w:t>
      </w:r>
      <w:proofErr w:type="spellEnd"/>
      <w:r w:rsidRPr="002337B2">
        <w:rPr>
          <w:rFonts w:ascii="Arial" w:hAnsi="Arial" w:cs="Arial"/>
          <w:sz w:val="24"/>
          <w:szCs w:val="24"/>
        </w:rPr>
        <w:t xml:space="preserve"> par une solution d’hydroxyde de sodium.</w:t>
      </w:r>
    </w:p>
    <w:p w14:paraId="1B6AFCAE" w14:textId="34070C1B" w:rsidR="00BC19B5" w:rsidRPr="002337B2" w:rsidRDefault="00BC19B5" w:rsidP="00CB468F">
      <w:pPr>
        <w:spacing w:after="0" w:line="240" w:lineRule="auto"/>
        <w:jc w:val="both"/>
        <w:rPr>
          <w:rFonts w:ascii="Arial" w:hAnsi="Arial" w:cs="Arial"/>
          <w:sz w:val="24"/>
          <w:szCs w:val="24"/>
        </w:rPr>
      </w:pPr>
    </w:p>
    <w:p w14:paraId="20036DE8" w14:textId="6A239098" w:rsidR="00CB468F" w:rsidRPr="002337B2" w:rsidRDefault="00CB468F" w:rsidP="00CB468F">
      <w:pPr>
        <w:spacing w:after="0" w:line="240" w:lineRule="auto"/>
        <w:jc w:val="both"/>
        <w:rPr>
          <w:rFonts w:ascii="Arial" w:hAnsi="Arial" w:cs="Arial"/>
          <w:sz w:val="24"/>
          <w:szCs w:val="24"/>
        </w:rPr>
      </w:pPr>
      <w:r w:rsidRPr="002337B2">
        <w:rPr>
          <w:rFonts w:ascii="Arial" w:hAnsi="Arial" w:cs="Arial"/>
          <w:sz w:val="24"/>
          <w:szCs w:val="24"/>
        </w:rPr>
        <w:t>On réalise le montage suivant :</w:t>
      </w:r>
    </w:p>
    <w:p w14:paraId="3E9C2BE2" w14:textId="2E6A2CE5" w:rsidR="00CB468F" w:rsidRPr="002337B2" w:rsidRDefault="00BC19B5" w:rsidP="00CB468F">
      <w:pPr>
        <w:spacing w:after="0" w:line="240" w:lineRule="auto"/>
        <w:jc w:val="both"/>
        <w:rPr>
          <w:rFonts w:ascii="Arial" w:hAnsi="Arial" w:cs="Arial"/>
          <w:sz w:val="24"/>
          <w:szCs w:val="24"/>
        </w:rPr>
      </w:pPr>
      <w:r w:rsidRPr="002337B2">
        <w:rPr>
          <w:rFonts w:ascii="Arial" w:hAnsi="Arial" w:cs="Arial"/>
          <w:noProof/>
          <w:sz w:val="24"/>
          <w:szCs w:val="24"/>
        </w:rPr>
        <w:drawing>
          <wp:anchor distT="0" distB="0" distL="114300" distR="114300" simplePos="0" relativeHeight="251659264" behindDoc="1" locked="0" layoutInCell="1" allowOverlap="1" wp14:anchorId="4F5EBF5A" wp14:editId="304FAFDC">
            <wp:simplePos x="0" y="0"/>
            <wp:positionH relativeFrom="column">
              <wp:posOffset>477854</wp:posOffset>
            </wp:positionH>
            <wp:positionV relativeFrom="paragraph">
              <wp:posOffset>116038</wp:posOffset>
            </wp:positionV>
            <wp:extent cx="5034280" cy="3528695"/>
            <wp:effectExtent l="0" t="0" r="0" b="1905"/>
            <wp:wrapTight wrapText="bothSides">
              <wp:wrapPolygon edited="0">
                <wp:start x="0" y="0"/>
                <wp:lineTo x="0" y="21534"/>
                <wp:lineTo x="21524" y="21534"/>
                <wp:lineTo x="21524" y="0"/>
                <wp:lineTo x="0" y="0"/>
              </wp:wrapPolygon>
            </wp:wrapTight>
            <wp:docPr id="835865975" name="Image 2" descr="Une image contenant diagramme, conception, illustration&#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5865975" name="Image 2" descr="Une image contenant diagramme, conception, illustration&#10;&#10;Description générée automatiquement"/>
                    <pic:cNvPicPr/>
                  </pic:nvPicPr>
                  <pic:blipFill rotWithShape="1">
                    <a:blip r:embed="rId7">
                      <a:extLst>
                        <a:ext uri="{28A0092B-C50C-407E-A947-70E740481C1C}">
                          <a14:useLocalDpi xmlns:a14="http://schemas.microsoft.com/office/drawing/2010/main" val="0"/>
                        </a:ext>
                      </a:extLst>
                    </a:blip>
                    <a:srcRect l="2229" t="1264" r="2566" b="1395"/>
                    <a:stretch/>
                  </pic:blipFill>
                  <pic:spPr bwMode="auto">
                    <a:xfrm>
                      <a:off x="0" y="0"/>
                      <a:ext cx="5034280" cy="35286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84C4556" w14:textId="70B2F629" w:rsidR="00CB468F" w:rsidRPr="002337B2" w:rsidRDefault="00CB468F" w:rsidP="00CB468F">
      <w:pPr>
        <w:spacing w:after="0" w:line="240" w:lineRule="auto"/>
        <w:jc w:val="both"/>
        <w:rPr>
          <w:rFonts w:ascii="Arial" w:hAnsi="Arial" w:cs="Arial"/>
          <w:sz w:val="24"/>
          <w:szCs w:val="24"/>
        </w:rPr>
      </w:pPr>
    </w:p>
    <w:p w14:paraId="0E2088CB" w14:textId="21CE910E" w:rsidR="00CB468F" w:rsidRPr="002337B2" w:rsidRDefault="00CB468F" w:rsidP="00CB468F">
      <w:pPr>
        <w:spacing w:after="0" w:line="240" w:lineRule="auto"/>
        <w:jc w:val="both"/>
        <w:rPr>
          <w:rFonts w:ascii="Arial" w:hAnsi="Arial" w:cs="Arial"/>
          <w:sz w:val="24"/>
          <w:szCs w:val="24"/>
        </w:rPr>
      </w:pPr>
    </w:p>
    <w:p w14:paraId="112C96CF" w14:textId="39DE6C2A" w:rsidR="00CB468F" w:rsidRPr="002337B2" w:rsidRDefault="00CB468F" w:rsidP="00CB468F">
      <w:pPr>
        <w:spacing w:after="0" w:line="240" w:lineRule="auto"/>
        <w:jc w:val="both"/>
        <w:rPr>
          <w:rFonts w:ascii="Arial" w:hAnsi="Arial" w:cs="Arial"/>
          <w:sz w:val="24"/>
          <w:szCs w:val="24"/>
        </w:rPr>
      </w:pPr>
    </w:p>
    <w:p w14:paraId="76A24C7A" w14:textId="238F2723" w:rsidR="00CB468F" w:rsidRPr="002337B2" w:rsidRDefault="00CB468F" w:rsidP="00CB468F">
      <w:pPr>
        <w:spacing w:after="0" w:line="240" w:lineRule="auto"/>
        <w:jc w:val="both"/>
        <w:rPr>
          <w:rFonts w:ascii="Arial" w:hAnsi="Arial" w:cs="Arial"/>
          <w:sz w:val="24"/>
          <w:szCs w:val="24"/>
        </w:rPr>
      </w:pPr>
    </w:p>
    <w:p w14:paraId="4B5CD6E3" w14:textId="4854BAE3" w:rsidR="00CB468F" w:rsidRPr="002337B2" w:rsidRDefault="00CB468F" w:rsidP="00CB468F">
      <w:pPr>
        <w:spacing w:after="0" w:line="240" w:lineRule="auto"/>
        <w:jc w:val="both"/>
        <w:rPr>
          <w:rFonts w:ascii="Arial" w:hAnsi="Arial" w:cs="Arial"/>
          <w:sz w:val="24"/>
          <w:szCs w:val="24"/>
        </w:rPr>
      </w:pPr>
    </w:p>
    <w:p w14:paraId="43AC91F7" w14:textId="7CA05858" w:rsidR="00CB468F" w:rsidRPr="002337B2" w:rsidRDefault="00CB468F" w:rsidP="00CB468F">
      <w:pPr>
        <w:spacing w:after="0" w:line="240" w:lineRule="auto"/>
        <w:jc w:val="both"/>
        <w:rPr>
          <w:rFonts w:ascii="Arial" w:hAnsi="Arial" w:cs="Arial"/>
          <w:sz w:val="24"/>
          <w:szCs w:val="24"/>
        </w:rPr>
      </w:pPr>
    </w:p>
    <w:p w14:paraId="1F046247" w14:textId="719BE01D" w:rsidR="00BC19B5" w:rsidRPr="002337B2" w:rsidRDefault="00BC19B5" w:rsidP="00CB468F">
      <w:pPr>
        <w:spacing w:after="0" w:line="240" w:lineRule="auto"/>
        <w:jc w:val="both"/>
        <w:rPr>
          <w:rFonts w:ascii="Arial" w:hAnsi="Arial" w:cs="Arial"/>
          <w:sz w:val="24"/>
          <w:szCs w:val="24"/>
        </w:rPr>
      </w:pPr>
    </w:p>
    <w:p w14:paraId="10FB0F35" w14:textId="77777777" w:rsidR="00BC19B5" w:rsidRPr="002337B2" w:rsidRDefault="00BC19B5" w:rsidP="00CB468F">
      <w:pPr>
        <w:spacing w:after="0" w:line="240" w:lineRule="auto"/>
        <w:jc w:val="both"/>
        <w:rPr>
          <w:rFonts w:ascii="Arial" w:hAnsi="Arial" w:cs="Arial"/>
          <w:sz w:val="24"/>
          <w:szCs w:val="24"/>
        </w:rPr>
      </w:pPr>
    </w:p>
    <w:p w14:paraId="65CA0938" w14:textId="77777777" w:rsidR="00BC19B5" w:rsidRPr="002337B2" w:rsidRDefault="00BC19B5" w:rsidP="00CB468F">
      <w:pPr>
        <w:spacing w:after="0" w:line="240" w:lineRule="auto"/>
        <w:jc w:val="both"/>
        <w:rPr>
          <w:rFonts w:ascii="Arial" w:hAnsi="Arial" w:cs="Arial"/>
          <w:sz w:val="24"/>
          <w:szCs w:val="24"/>
        </w:rPr>
      </w:pPr>
    </w:p>
    <w:p w14:paraId="67CC0B23" w14:textId="218DEB6A" w:rsidR="00BC19B5" w:rsidRPr="002337B2" w:rsidRDefault="00BC19B5" w:rsidP="00CB468F">
      <w:pPr>
        <w:spacing w:after="0" w:line="240" w:lineRule="auto"/>
        <w:jc w:val="both"/>
        <w:rPr>
          <w:rFonts w:ascii="Arial" w:hAnsi="Arial" w:cs="Arial"/>
          <w:sz w:val="24"/>
          <w:szCs w:val="24"/>
        </w:rPr>
      </w:pPr>
    </w:p>
    <w:p w14:paraId="7A13E32F" w14:textId="77777777" w:rsidR="00BC19B5" w:rsidRPr="002337B2" w:rsidRDefault="00BC19B5" w:rsidP="00CB468F">
      <w:pPr>
        <w:spacing w:after="0" w:line="240" w:lineRule="auto"/>
        <w:jc w:val="both"/>
        <w:rPr>
          <w:rFonts w:ascii="Arial" w:hAnsi="Arial" w:cs="Arial"/>
          <w:sz w:val="24"/>
          <w:szCs w:val="24"/>
        </w:rPr>
      </w:pPr>
    </w:p>
    <w:p w14:paraId="4F1BFC37" w14:textId="519D6B5A" w:rsidR="00BC19B5" w:rsidRPr="002337B2" w:rsidRDefault="00BC19B5" w:rsidP="00CB468F">
      <w:pPr>
        <w:spacing w:after="0" w:line="240" w:lineRule="auto"/>
        <w:jc w:val="both"/>
        <w:rPr>
          <w:rFonts w:ascii="Arial" w:hAnsi="Arial" w:cs="Arial"/>
          <w:sz w:val="24"/>
          <w:szCs w:val="24"/>
        </w:rPr>
      </w:pPr>
    </w:p>
    <w:p w14:paraId="5B86F501" w14:textId="77777777" w:rsidR="00BC19B5" w:rsidRPr="002337B2" w:rsidRDefault="00BC19B5" w:rsidP="00CB468F">
      <w:pPr>
        <w:spacing w:after="0" w:line="240" w:lineRule="auto"/>
        <w:jc w:val="both"/>
        <w:rPr>
          <w:rFonts w:ascii="Arial" w:hAnsi="Arial" w:cs="Arial"/>
          <w:sz w:val="24"/>
          <w:szCs w:val="24"/>
        </w:rPr>
      </w:pPr>
    </w:p>
    <w:p w14:paraId="2B53CF25" w14:textId="7A5BEF80" w:rsidR="00BC19B5" w:rsidRPr="002337B2" w:rsidRDefault="00BC19B5" w:rsidP="00CB468F">
      <w:pPr>
        <w:spacing w:after="0" w:line="240" w:lineRule="auto"/>
        <w:jc w:val="both"/>
        <w:rPr>
          <w:rFonts w:ascii="Arial" w:hAnsi="Arial" w:cs="Arial"/>
          <w:sz w:val="24"/>
          <w:szCs w:val="24"/>
        </w:rPr>
      </w:pPr>
    </w:p>
    <w:p w14:paraId="7FFAA41F" w14:textId="77777777" w:rsidR="00BC19B5" w:rsidRPr="002337B2" w:rsidRDefault="00BC19B5" w:rsidP="00CB468F">
      <w:pPr>
        <w:spacing w:after="0" w:line="240" w:lineRule="auto"/>
        <w:jc w:val="both"/>
        <w:rPr>
          <w:rFonts w:ascii="Arial" w:hAnsi="Arial" w:cs="Arial"/>
          <w:sz w:val="24"/>
          <w:szCs w:val="24"/>
        </w:rPr>
      </w:pPr>
    </w:p>
    <w:p w14:paraId="6F26FB88" w14:textId="00956FA9" w:rsidR="00BC19B5" w:rsidRPr="002337B2" w:rsidRDefault="00BC19B5" w:rsidP="00CB468F">
      <w:pPr>
        <w:spacing w:after="0" w:line="240" w:lineRule="auto"/>
        <w:jc w:val="both"/>
        <w:rPr>
          <w:rFonts w:ascii="Arial" w:hAnsi="Arial" w:cs="Arial"/>
          <w:sz w:val="24"/>
          <w:szCs w:val="24"/>
        </w:rPr>
      </w:pPr>
    </w:p>
    <w:p w14:paraId="4E687FDB" w14:textId="491633BF" w:rsidR="00CB468F" w:rsidRPr="002337B2" w:rsidRDefault="00CB468F" w:rsidP="00CB468F">
      <w:pPr>
        <w:spacing w:after="0" w:line="240" w:lineRule="auto"/>
        <w:jc w:val="both"/>
        <w:rPr>
          <w:rFonts w:ascii="Arial" w:hAnsi="Arial" w:cs="Arial"/>
          <w:sz w:val="24"/>
          <w:szCs w:val="24"/>
        </w:rPr>
      </w:pPr>
    </w:p>
    <w:p w14:paraId="19FDC735" w14:textId="44D8A5E5" w:rsidR="00CB468F" w:rsidRPr="002337B2" w:rsidRDefault="00CB468F" w:rsidP="00CB468F">
      <w:pPr>
        <w:spacing w:after="0" w:line="240" w:lineRule="auto"/>
        <w:jc w:val="both"/>
        <w:rPr>
          <w:rFonts w:ascii="Arial" w:hAnsi="Arial" w:cs="Arial"/>
          <w:sz w:val="24"/>
          <w:szCs w:val="24"/>
        </w:rPr>
      </w:pPr>
    </w:p>
    <w:p w14:paraId="0A04168D" w14:textId="1EE6FD8A" w:rsidR="00CB468F" w:rsidRPr="002337B2" w:rsidRDefault="00CB468F" w:rsidP="00CB468F">
      <w:pPr>
        <w:spacing w:after="0" w:line="240" w:lineRule="auto"/>
        <w:jc w:val="both"/>
        <w:rPr>
          <w:rFonts w:ascii="Arial" w:hAnsi="Arial" w:cs="Arial"/>
          <w:sz w:val="24"/>
          <w:szCs w:val="24"/>
        </w:rPr>
      </w:pPr>
    </w:p>
    <w:p w14:paraId="59E1DA6A" w14:textId="11A30FA3" w:rsidR="00CB468F" w:rsidRPr="002337B2" w:rsidRDefault="00CB468F" w:rsidP="00CB468F">
      <w:pPr>
        <w:spacing w:after="0" w:line="240" w:lineRule="auto"/>
        <w:jc w:val="both"/>
        <w:rPr>
          <w:rFonts w:ascii="Arial" w:hAnsi="Arial" w:cs="Arial"/>
          <w:sz w:val="24"/>
          <w:szCs w:val="24"/>
        </w:rPr>
      </w:pPr>
    </w:p>
    <w:p w14:paraId="48850161" w14:textId="3A09DCC1" w:rsidR="00CB468F" w:rsidRPr="002337B2" w:rsidRDefault="00CB468F" w:rsidP="00CB468F">
      <w:pPr>
        <w:spacing w:after="0" w:line="240" w:lineRule="auto"/>
        <w:jc w:val="both"/>
        <w:rPr>
          <w:rFonts w:ascii="Arial" w:hAnsi="Arial" w:cs="Arial"/>
          <w:sz w:val="24"/>
          <w:szCs w:val="24"/>
        </w:rPr>
      </w:pPr>
    </w:p>
    <w:p w14:paraId="39054B7E" w14:textId="57D615E0" w:rsidR="00BC19B5" w:rsidRPr="002337B2" w:rsidRDefault="00CB468F" w:rsidP="00CB468F">
      <w:pPr>
        <w:spacing w:after="0" w:line="240" w:lineRule="auto"/>
        <w:jc w:val="both"/>
        <w:rPr>
          <w:rFonts w:ascii="Arial" w:hAnsi="Arial" w:cs="Arial"/>
          <w:sz w:val="24"/>
          <w:szCs w:val="24"/>
        </w:rPr>
      </w:pPr>
      <w:r w:rsidRPr="002337B2">
        <w:rPr>
          <w:rFonts w:ascii="Arial" w:hAnsi="Arial" w:cs="Arial"/>
          <w:sz w:val="24"/>
          <w:szCs w:val="24"/>
        </w:rPr>
        <w:t xml:space="preserve">Après un traitement numérique des mesures, on obtient le tracé suivant : </w:t>
      </w:r>
    </w:p>
    <w:p w14:paraId="5655C9DF" w14:textId="77777777" w:rsidR="00BC19B5" w:rsidRPr="002337B2" w:rsidRDefault="00BC19B5" w:rsidP="00CB468F">
      <w:pPr>
        <w:spacing w:after="0" w:line="240" w:lineRule="auto"/>
        <w:jc w:val="both"/>
        <w:rPr>
          <w:rFonts w:ascii="Arial" w:hAnsi="Arial" w:cs="Arial"/>
          <w:sz w:val="24"/>
          <w:szCs w:val="24"/>
        </w:rPr>
      </w:pPr>
    </w:p>
    <w:p w14:paraId="3192BD28" w14:textId="18ABF8B4" w:rsidR="00CB468F" w:rsidRPr="002337B2" w:rsidRDefault="00CB468F" w:rsidP="00BC19B5">
      <w:pPr>
        <w:spacing w:after="0" w:line="240" w:lineRule="auto"/>
        <w:jc w:val="center"/>
        <w:rPr>
          <w:rFonts w:ascii="Arial" w:hAnsi="Arial" w:cs="Arial"/>
          <w:sz w:val="24"/>
          <w:szCs w:val="24"/>
        </w:rPr>
      </w:pPr>
      <w:proofErr w:type="gramStart"/>
      <w:r w:rsidRPr="002337B2">
        <w:rPr>
          <w:rFonts w:ascii="Arial" w:hAnsi="Arial" w:cs="Arial"/>
          <w:sz w:val="24"/>
          <w:szCs w:val="24"/>
        </w:rPr>
        <w:t>courbe</w:t>
      </w:r>
      <w:proofErr w:type="gramEnd"/>
      <w:r w:rsidRPr="002337B2">
        <w:rPr>
          <w:rFonts w:ascii="Arial" w:hAnsi="Arial" w:cs="Arial"/>
          <w:sz w:val="24"/>
          <w:szCs w:val="24"/>
        </w:rPr>
        <w:t xml:space="preserve"> de titrage des ions oxonium dans l’</w:t>
      </w:r>
      <w:proofErr w:type="spellStart"/>
      <w:r w:rsidRPr="002337B2">
        <w:rPr>
          <w:rFonts w:ascii="Arial" w:hAnsi="Arial" w:cs="Arial"/>
          <w:sz w:val="24"/>
          <w:szCs w:val="24"/>
        </w:rPr>
        <w:t>éluat</w:t>
      </w:r>
      <w:proofErr w:type="spellEnd"/>
    </w:p>
    <w:p w14:paraId="214A53CF" w14:textId="36C53528" w:rsidR="00CB468F" w:rsidRPr="002337B2" w:rsidRDefault="00BC19B5" w:rsidP="00CB468F">
      <w:pPr>
        <w:spacing w:after="0" w:line="240" w:lineRule="auto"/>
        <w:jc w:val="both"/>
        <w:rPr>
          <w:rFonts w:ascii="Arial" w:hAnsi="Arial" w:cs="Arial"/>
          <w:sz w:val="24"/>
          <w:szCs w:val="24"/>
        </w:rPr>
      </w:pPr>
      <w:r w:rsidRPr="002337B2">
        <w:rPr>
          <w:rFonts w:ascii="Arial" w:hAnsi="Arial" w:cs="Arial"/>
          <w:noProof/>
          <w:sz w:val="24"/>
          <w:szCs w:val="24"/>
        </w:rPr>
        <w:drawing>
          <wp:anchor distT="0" distB="0" distL="114300" distR="114300" simplePos="0" relativeHeight="251660288" behindDoc="1" locked="0" layoutInCell="1" allowOverlap="1" wp14:anchorId="6E5110D3" wp14:editId="25AD3E8E">
            <wp:simplePos x="0" y="0"/>
            <wp:positionH relativeFrom="column">
              <wp:posOffset>563077</wp:posOffset>
            </wp:positionH>
            <wp:positionV relativeFrom="paragraph">
              <wp:posOffset>110690</wp:posOffset>
            </wp:positionV>
            <wp:extent cx="5229225" cy="3209925"/>
            <wp:effectExtent l="0" t="0" r="3175" b="3175"/>
            <wp:wrapTight wrapText="bothSides">
              <wp:wrapPolygon edited="0">
                <wp:start x="0" y="0"/>
                <wp:lineTo x="0" y="21536"/>
                <wp:lineTo x="21561" y="21536"/>
                <wp:lineTo x="21561" y="0"/>
                <wp:lineTo x="0" y="0"/>
              </wp:wrapPolygon>
            </wp:wrapTight>
            <wp:docPr id="680679028" name="Image 3" descr="Une image contenant ligne, Tracé, diagramme, pe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0679028" name="Image 3" descr="Une image contenant ligne, Tracé, diagramme, pente&#10;&#10;Description générée automatiquement"/>
                    <pic:cNvPicPr/>
                  </pic:nvPicPr>
                  <pic:blipFill>
                    <a:blip r:embed="rId8">
                      <a:extLst>
                        <a:ext uri="{28A0092B-C50C-407E-A947-70E740481C1C}">
                          <a14:useLocalDpi xmlns:a14="http://schemas.microsoft.com/office/drawing/2010/main" val="0"/>
                        </a:ext>
                      </a:extLst>
                    </a:blip>
                    <a:stretch>
                      <a:fillRect/>
                    </a:stretch>
                  </pic:blipFill>
                  <pic:spPr>
                    <a:xfrm>
                      <a:off x="0" y="0"/>
                      <a:ext cx="5229225" cy="3209925"/>
                    </a:xfrm>
                    <a:prstGeom prst="rect">
                      <a:avLst/>
                    </a:prstGeom>
                  </pic:spPr>
                </pic:pic>
              </a:graphicData>
            </a:graphic>
            <wp14:sizeRelH relativeFrom="margin">
              <wp14:pctWidth>0</wp14:pctWidth>
            </wp14:sizeRelH>
            <wp14:sizeRelV relativeFrom="margin">
              <wp14:pctHeight>0</wp14:pctHeight>
            </wp14:sizeRelV>
          </wp:anchor>
        </w:drawing>
      </w:r>
    </w:p>
    <w:p w14:paraId="7FC52699" w14:textId="61D4AB87" w:rsidR="00CB468F" w:rsidRPr="002337B2" w:rsidRDefault="00CB468F" w:rsidP="00CB468F">
      <w:pPr>
        <w:spacing w:after="0" w:line="240" w:lineRule="auto"/>
        <w:jc w:val="both"/>
        <w:rPr>
          <w:rFonts w:ascii="Arial" w:hAnsi="Arial" w:cs="Arial"/>
          <w:sz w:val="24"/>
          <w:szCs w:val="24"/>
        </w:rPr>
      </w:pPr>
    </w:p>
    <w:p w14:paraId="60432B75" w14:textId="77777777" w:rsidR="00BC19B5" w:rsidRPr="002337B2" w:rsidRDefault="00BC19B5" w:rsidP="00CB468F">
      <w:pPr>
        <w:spacing w:after="0" w:line="240" w:lineRule="auto"/>
        <w:jc w:val="both"/>
        <w:rPr>
          <w:rFonts w:ascii="Arial" w:hAnsi="Arial" w:cs="Arial"/>
          <w:sz w:val="24"/>
          <w:szCs w:val="24"/>
        </w:rPr>
      </w:pPr>
    </w:p>
    <w:p w14:paraId="49945832" w14:textId="77777777" w:rsidR="00BC19B5" w:rsidRPr="002337B2" w:rsidRDefault="00BC19B5" w:rsidP="00CB468F">
      <w:pPr>
        <w:spacing w:after="0" w:line="240" w:lineRule="auto"/>
        <w:jc w:val="both"/>
        <w:rPr>
          <w:rFonts w:ascii="Arial" w:hAnsi="Arial" w:cs="Arial"/>
          <w:sz w:val="24"/>
          <w:szCs w:val="24"/>
        </w:rPr>
      </w:pPr>
    </w:p>
    <w:p w14:paraId="68A46B86" w14:textId="77777777" w:rsidR="00BC19B5" w:rsidRPr="002337B2" w:rsidRDefault="00BC19B5" w:rsidP="00CB468F">
      <w:pPr>
        <w:spacing w:after="0" w:line="240" w:lineRule="auto"/>
        <w:jc w:val="both"/>
        <w:rPr>
          <w:rFonts w:ascii="Arial" w:hAnsi="Arial" w:cs="Arial"/>
          <w:sz w:val="24"/>
          <w:szCs w:val="24"/>
        </w:rPr>
      </w:pPr>
    </w:p>
    <w:p w14:paraId="3F9E1E25" w14:textId="77777777" w:rsidR="00BC19B5" w:rsidRPr="002337B2" w:rsidRDefault="00BC19B5" w:rsidP="00CB468F">
      <w:pPr>
        <w:spacing w:after="0" w:line="240" w:lineRule="auto"/>
        <w:jc w:val="both"/>
        <w:rPr>
          <w:rFonts w:ascii="Arial" w:hAnsi="Arial" w:cs="Arial"/>
          <w:sz w:val="24"/>
          <w:szCs w:val="24"/>
        </w:rPr>
      </w:pPr>
    </w:p>
    <w:p w14:paraId="3DB3B375" w14:textId="77777777" w:rsidR="00BC19B5" w:rsidRPr="002337B2" w:rsidRDefault="00BC19B5" w:rsidP="00CB468F">
      <w:pPr>
        <w:spacing w:after="0" w:line="240" w:lineRule="auto"/>
        <w:jc w:val="both"/>
        <w:rPr>
          <w:rFonts w:ascii="Arial" w:hAnsi="Arial" w:cs="Arial"/>
          <w:sz w:val="24"/>
          <w:szCs w:val="24"/>
        </w:rPr>
      </w:pPr>
    </w:p>
    <w:p w14:paraId="2127CF91" w14:textId="77777777" w:rsidR="00BC19B5" w:rsidRPr="002337B2" w:rsidRDefault="00BC19B5" w:rsidP="00CB468F">
      <w:pPr>
        <w:spacing w:after="0" w:line="240" w:lineRule="auto"/>
        <w:jc w:val="both"/>
        <w:rPr>
          <w:rFonts w:ascii="Arial" w:hAnsi="Arial" w:cs="Arial"/>
          <w:sz w:val="24"/>
          <w:szCs w:val="24"/>
        </w:rPr>
      </w:pPr>
    </w:p>
    <w:p w14:paraId="724A6C53" w14:textId="77777777" w:rsidR="00BC19B5" w:rsidRPr="002337B2" w:rsidRDefault="00BC19B5" w:rsidP="00CB468F">
      <w:pPr>
        <w:spacing w:after="0" w:line="240" w:lineRule="auto"/>
        <w:jc w:val="both"/>
        <w:rPr>
          <w:rFonts w:ascii="Arial" w:hAnsi="Arial" w:cs="Arial"/>
          <w:sz w:val="24"/>
          <w:szCs w:val="24"/>
        </w:rPr>
      </w:pPr>
    </w:p>
    <w:p w14:paraId="7BF21313" w14:textId="77777777" w:rsidR="00BC19B5" w:rsidRPr="002337B2" w:rsidRDefault="00BC19B5" w:rsidP="00CB468F">
      <w:pPr>
        <w:spacing w:after="0" w:line="240" w:lineRule="auto"/>
        <w:jc w:val="both"/>
        <w:rPr>
          <w:rFonts w:ascii="Arial" w:hAnsi="Arial" w:cs="Arial"/>
          <w:sz w:val="24"/>
          <w:szCs w:val="24"/>
        </w:rPr>
      </w:pPr>
    </w:p>
    <w:p w14:paraId="012631DE" w14:textId="77777777" w:rsidR="00BC19B5" w:rsidRPr="002337B2" w:rsidRDefault="00BC19B5" w:rsidP="00CB468F">
      <w:pPr>
        <w:spacing w:after="0" w:line="240" w:lineRule="auto"/>
        <w:jc w:val="both"/>
        <w:rPr>
          <w:rFonts w:ascii="Arial" w:hAnsi="Arial" w:cs="Arial"/>
          <w:sz w:val="24"/>
          <w:szCs w:val="24"/>
        </w:rPr>
      </w:pPr>
    </w:p>
    <w:p w14:paraId="734E6A5C" w14:textId="77777777" w:rsidR="00BC19B5" w:rsidRPr="002337B2" w:rsidRDefault="00BC19B5" w:rsidP="00CB468F">
      <w:pPr>
        <w:spacing w:after="0" w:line="240" w:lineRule="auto"/>
        <w:jc w:val="both"/>
        <w:rPr>
          <w:rFonts w:ascii="Arial" w:hAnsi="Arial" w:cs="Arial"/>
          <w:sz w:val="24"/>
          <w:szCs w:val="24"/>
        </w:rPr>
      </w:pPr>
    </w:p>
    <w:p w14:paraId="6E3A5569" w14:textId="77777777" w:rsidR="00BC19B5" w:rsidRPr="002337B2" w:rsidRDefault="00BC19B5" w:rsidP="00CB468F">
      <w:pPr>
        <w:spacing w:after="0" w:line="240" w:lineRule="auto"/>
        <w:jc w:val="both"/>
        <w:rPr>
          <w:rFonts w:ascii="Arial" w:hAnsi="Arial" w:cs="Arial"/>
          <w:sz w:val="24"/>
          <w:szCs w:val="24"/>
        </w:rPr>
      </w:pPr>
    </w:p>
    <w:p w14:paraId="3B238927" w14:textId="77777777" w:rsidR="00BC19B5" w:rsidRPr="002337B2" w:rsidRDefault="00BC19B5" w:rsidP="00CB468F">
      <w:pPr>
        <w:spacing w:after="0" w:line="240" w:lineRule="auto"/>
        <w:jc w:val="both"/>
        <w:rPr>
          <w:rFonts w:ascii="Arial" w:hAnsi="Arial" w:cs="Arial"/>
          <w:sz w:val="24"/>
          <w:szCs w:val="24"/>
        </w:rPr>
      </w:pPr>
    </w:p>
    <w:p w14:paraId="18890253" w14:textId="77777777" w:rsidR="00BC19B5" w:rsidRPr="002337B2" w:rsidRDefault="00BC19B5" w:rsidP="00CB468F">
      <w:pPr>
        <w:spacing w:after="0" w:line="240" w:lineRule="auto"/>
        <w:jc w:val="both"/>
        <w:rPr>
          <w:rFonts w:ascii="Arial" w:hAnsi="Arial" w:cs="Arial"/>
          <w:sz w:val="24"/>
          <w:szCs w:val="24"/>
        </w:rPr>
      </w:pPr>
    </w:p>
    <w:p w14:paraId="18D280A7" w14:textId="77777777" w:rsidR="00BC19B5" w:rsidRPr="002337B2" w:rsidRDefault="00BC19B5" w:rsidP="00CB468F">
      <w:pPr>
        <w:spacing w:after="0" w:line="240" w:lineRule="auto"/>
        <w:jc w:val="both"/>
        <w:rPr>
          <w:rFonts w:ascii="Arial" w:hAnsi="Arial" w:cs="Arial"/>
          <w:sz w:val="24"/>
          <w:szCs w:val="24"/>
        </w:rPr>
      </w:pPr>
    </w:p>
    <w:p w14:paraId="76F8914F" w14:textId="77777777" w:rsidR="00BC19B5" w:rsidRPr="002337B2" w:rsidRDefault="00BC19B5" w:rsidP="00CB468F">
      <w:pPr>
        <w:spacing w:after="0" w:line="240" w:lineRule="auto"/>
        <w:jc w:val="both"/>
        <w:rPr>
          <w:rFonts w:ascii="Arial" w:hAnsi="Arial" w:cs="Arial"/>
          <w:sz w:val="24"/>
          <w:szCs w:val="24"/>
        </w:rPr>
      </w:pPr>
    </w:p>
    <w:p w14:paraId="3D1EF2E0" w14:textId="77777777" w:rsidR="00BC19B5" w:rsidRPr="002337B2" w:rsidRDefault="00BC19B5" w:rsidP="00CB468F">
      <w:pPr>
        <w:spacing w:after="0" w:line="240" w:lineRule="auto"/>
        <w:jc w:val="both"/>
        <w:rPr>
          <w:rFonts w:ascii="Arial" w:hAnsi="Arial" w:cs="Arial"/>
          <w:sz w:val="24"/>
          <w:szCs w:val="24"/>
        </w:rPr>
      </w:pPr>
    </w:p>
    <w:p w14:paraId="4933127E" w14:textId="020945DA" w:rsidR="00BC19B5" w:rsidRPr="002337B2" w:rsidRDefault="00BC19B5" w:rsidP="00CB468F">
      <w:pPr>
        <w:spacing w:after="0" w:line="240" w:lineRule="auto"/>
        <w:jc w:val="both"/>
        <w:rPr>
          <w:rFonts w:ascii="Arial" w:hAnsi="Arial" w:cs="Arial"/>
          <w:sz w:val="24"/>
          <w:szCs w:val="24"/>
        </w:rPr>
      </w:pPr>
    </w:p>
    <w:p w14:paraId="43E683D9" w14:textId="77777777" w:rsidR="00BC19B5" w:rsidRPr="002337B2" w:rsidRDefault="00BC19B5">
      <w:pPr>
        <w:rPr>
          <w:rFonts w:ascii="Arial" w:hAnsi="Arial" w:cs="Arial"/>
          <w:sz w:val="24"/>
          <w:szCs w:val="24"/>
        </w:rPr>
      </w:pPr>
      <w:r w:rsidRPr="002337B2">
        <w:rPr>
          <w:rFonts w:ascii="Arial" w:hAnsi="Arial" w:cs="Arial"/>
          <w:sz w:val="24"/>
          <w:szCs w:val="24"/>
        </w:rPr>
        <w:br w:type="page"/>
      </w:r>
    </w:p>
    <w:p w14:paraId="4966B711" w14:textId="6A7CBD58" w:rsidR="00CB468F" w:rsidRPr="002337B2" w:rsidRDefault="00CB468F" w:rsidP="00CB468F">
      <w:pPr>
        <w:spacing w:after="0" w:line="240" w:lineRule="auto"/>
        <w:jc w:val="both"/>
        <w:rPr>
          <w:rFonts w:ascii="Arial" w:hAnsi="Arial" w:cs="Arial"/>
          <w:sz w:val="24"/>
          <w:szCs w:val="24"/>
        </w:rPr>
      </w:pPr>
      <w:r w:rsidRPr="002337B2">
        <w:rPr>
          <w:rFonts w:ascii="Arial" w:hAnsi="Arial" w:cs="Arial"/>
          <w:sz w:val="24"/>
          <w:szCs w:val="24"/>
        </w:rPr>
        <w:lastRenderedPageBreak/>
        <w:t xml:space="preserve">La solution d'hydroxyde de sodium de concentration </w:t>
      </w:r>
      <w:r w:rsidRPr="002337B2">
        <w:rPr>
          <w:rFonts w:ascii="Arial" w:hAnsi="Arial" w:cs="Arial"/>
          <w:i/>
          <w:iCs/>
          <w:sz w:val="24"/>
          <w:szCs w:val="24"/>
        </w:rPr>
        <w:t>C</w:t>
      </w:r>
      <w:r w:rsidR="00BC19B5" w:rsidRPr="002337B2">
        <w:rPr>
          <w:rFonts w:ascii="Arial" w:hAnsi="Arial" w:cs="Arial"/>
          <w:sz w:val="24"/>
          <w:szCs w:val="24"/>
          <w:vertAlign w:val="subscript"/>
        </w:rPr>
        <w:t>B</w:t>
      </w:r>
      <w:r w:rsidRPr="002337B2">
        <w:rPr>
          <w:rFonts w:ascii="Arial" w:hAnsi="Arial" w:cs="Arial"/>
          <w:sz w:val="24"/>
          <w:szCs w:val="24"/>
        </w:rPr>
        <w:t xml:space="preserve"> =</w:t>
      </w:r>
      <w:r w:rsidR="00BC19B5" w:rsidRPr="002337B2">
        <w:rPr>
          <w:rFonts w:ascii="Arial" w:hAnsi="Arial" w:cs="Arial"/>
          <w:sz w:val="24"/>
          <w:szCs w:val="24"/>
        </w:rPr>
        <w:t xml:space="preserve">4,00 </w:t>
      </w:r>
      <w:r w:rsidR="00871BA1">
        <w:rPr>
          <w:rFonts w:ascii="Arial" w:hAnsi="Arial" w:cs="Arial"/>
          <w:sz w:val="24"/>
          <w:szCs w:val="24"/>
        </w:rPr>
        <w:t>×</w:t>
      </w:r>
      <w:r w:rsidR="00BC19B5" w:rsidRPr="002337B2">
        <w:rPr>
          <w:rFonts w:ascii="Arial" w:hAnsi="Arial" w:cs="Arial"/>
          <w:sz w:val="24"/>
          <w:szCs w:val="24"/>
        </w:rPr>
        <w:t xml:space="preserve"> 10</w:t>
      </w:r>
      <w:r w:rsidR="00871BA1">
        <w:rPr>
          <w:rFonts w:ascii="Arial" w:hAnsi="Arial" w:cs="Arial"/>
          <w:sz w:val="24"/>
          <w:szCs w:val="24"/>
          <w:vertAlign w:val="superscript"/>
        </w:rPr>
        <w:t>–</w:t>
      </w:r>
      <w:r w:rsidR="00BC19B5" w:rsidRPr="002337B2">
        <w:rPr>
          <w:rFonts w:ascii="Arial" w:hAnsi="Arial" w:cs="Arial"/>
          <w:sz w:val="24"/>
          <w:szCs w:val="24"/>
          <w:vertAlign w:val="superscript"/>
        </w:rPr>
        <w:t>2</w:t>
      </w:r>
      <w:r w:rsidR="00BC19B5" w:rsidRPr="002337B2">
        <w:rPr>
          <w:rFonts w:ascii="Arial" w:hAnsi="Arial" w:cs="Arial"/>
          <w:sz w:val="24"/>
          <w:szCs w:val="24"/>
        </w:rPr>
        <w:t xml:space="preserve"> </w:t>
      </w:r>
      <w:proofErr w:type="gramStart"/>
      <w:r w:rsidRPr="002337B2">
        <w:rPr>
          <w:rFonts w:ascii="Arial" w:hAnsi="Arial" w:cs="Arial"/>
          <w:sz w:val="24"/>
          <w:szCs w:val="24"/>
        </w:rPr>
        <w:t>mol</w:t>
      </w:r>
      <w:r w:rsidR="00BC19B5" w:rsidRPr="002337B2">
        <w:rPr>
          <w:rFonts w:ascii="Arial" w:hAnsi="Arial" w:cs="Arial"/>
          <w:sz w:val="24"/>
          <w:szCs w:val="24"/>
        </w:rPr>
        <w:t>.</w:t>
      </w:r>
      <w:r w:rsidRPr="002337B2">
        <w:rPr>
          <w:rFonts w:ascii="Arial" w:hAnsi="Arial" w:cs="Arial"/>
          <w:sz w:val="24"/>
          <w:szCs w:val="24"/>
        </w:rPr>
        <w:t>L</w:t>
      </w:r>
      <w:proofErr w:type="gramEnd"/>
      <w:r w:rsidRPr="002337B2">
        <w:rPr>
          <w:rFonts w:ascii="Arial" w:hAnsi="Arial" w:cs="Arial"/>
          <w:sz w:val="24"/>
          <w:szCs w:val="24"/>
          <w:vertAlign w:val="superscript"/>
        </w:rPr>
        <w:t>-1</w:t>
      </w:r>
      <w:r w:rsidRPr="002337B2">
        <w:rPr>
          <w:rFonts w:ascii="Arial" w:hAnsi="Arial" w:cs="Arial"/>
          <w:sz w:val="24"/>
          <w:szCs w:val="24"/>
        </w:rPr>
        <w:t>, utilisée pour le titrage est obtenue par dilution d’une solution mère S</w:t>
      </w:r>
      <w:r w:rsidR="00BC19B5" w:rsidRPr="002337B2">
        <w:rPr>
          <w:rFonts w:ascii="Arial" w:hAnsi="Arial" w:cs="Arial"/>
          <w:sz w:val="24"/>
          <w:szCs w:val="24"/>
          <w:vertAlign w:val="subscript"/>
        </w:rPr>
        <w:t xml:space="preserve">0 </w:t>
      </w:r>
      <w:r w:rsidRPr="002337B2">
        <w:rPr>
          <w:rFonts w:ascii="Arial" w:hAnsi="Arial" w:cs="Arial"/>
          <w:sz w:val="24"/>
          <w:szCs w:val="24"/>
        </w:rPr>
        <w:t xml:space="preserve">de concentration </w:t>
      </w:r>
      <w:r w:rsidRPr="002337B2">
        <w:rPr>
          <w:rFonts w:ascii="Arial" w:hAnsi="Arial" w:cs="Arial"/>
          <w:i/>
          <w:iCs/>
          <w:sz w:val="24"/>
          <w:szCs w:val="24"/>
        </w:rPr>
        <w:t>C</w:t>
      </w:r>
      <w:r w:rsidR="00BC19B5" w:rsidRPr="002337B2">
        <w:rPr>
          <w:rFonts w:ascii="Arial" w:hAnsi="Arial" w:cs="Arial"/>
          <w:sz w:val="24"/>
          <w:szCs w:val="24"/>
          <w:vertAlign w:val="subscript"/>
        </w:rPr>
        <w:t>0</w:t>
      </w:r>
      <w:r w:rsidRPr="002337B2">
        <w:rPr>
          <w:rFonts w:ascii="Arial" w:hAnsi="Arial" w:cs="Arial"/>
          <w:sz w:val="24"/>
          <w:szCs w:val="24"/>
        </w:rPr>
        <w:t xml:space="preserve"> = 1,00</w:t>
      </w:r>
      <w:r w:rsidR="00BC19B5" w:rsidRPr="002337B2">
        <w:rPr>
          <w:rFonts w:ascii="Arial" w:hAnsi="Arial" w:cs="Arial"/>
          <w:sz w:val="24"/>
          <w:szCs w:val="24"/>
        </w:rPr>
        <w:t xml:space="preserve"> </w:t>
      </w:r>
      <w:r w:rsidR="00871BA1">
        <w:rPr>
          <w:rFonts w:ascii="Arial" w:hAnsi="Arial" w:cs="Arial"/>
          <w:sz w:val="24"/>
          <w:szCs w:val="24"/>
        </w:rPr>
        <w:t>×</w:t>
      </w:r>
      <w:r w:rsidR="00BC19B5" w:rsidRPr="002337B2">
        <w:rPr>
          <w:rFonts w:ascii="Arial" w:hAnsi="Arial" w:cs="Arial"/>
          <w:sz w:val="24"/>
          <w:szCs w:val="24"/>
        </w:rPr>
        <w:t xml:space="preserve"> 1</w:t>
      </w:r>
      <w:r w:rsidRPr="002337B2">
        <w:rPr>
          <w:rFonts w:ascii="Arial" w:hAnsi="Arial" w:cs="Arial"/>
          <w:sz w:val="24"/>
          <w:szCs w:val="24"/>
        </w:rPr>
        <w:t>0</w:t>
      </w:r>
      <w:r w:rsidR="00871BA1">
        <w:rPr>
          <w:rFonts w:ascii="Arial" w:hAnsi="Arial" w:cs="Arial"/>
          <w:sz w:val="24"/>
          <w:szCs w:val="24"/>
          <w:vertAlign w:val="superscript"/>
        </w:rPr>
        <w:t>–</w:t>
      </w:r>
      <w:r w:rsidRPr="002337B2">
        <w:rPr>
          <w:rFonts w:ascii="Arial" w:hAnsi="Arial" w:cs="Arial"/>
          <w:sz w:val="24"/>
          <w:szCs w:val="24"/>
          <w:vertAlign w:val="superscript"/>
        </w:rPr>
        <w:t>1</w:t>
      </w:r>
      <w:r w:rsidRPr="002337B2">
        <w:rPr>
          <w:rFonts w:ascii="Arial" w:hAnsi="Arial" w:cs="Arial"/>
          <w:sz w:val="24"/>
          <w:szCs w:val="24"/>
        </w:rPr>
        <w:t xml:space="preserve"> mol</w:t>
      </w:r>
      <w:r w:rsidR="00BC19B5" w:rsidRPr="002337B2">
        <w:rPr>
          <w:rFonts w:ascii="Arial" w:hAnsi="Arial" w:cs="Arial"/>
          <w:sz w:val="24"/>
          <w:szCs w:val="24"/>
        </w:rPr>
        <w:t>.</w:t>
      </w:r>
      <w:r w:rsidRPr="002337B2">
        <w:rPr>
          <w:rFonts w:ascii="Arial" w:hAnsi="Arial" w:cs="Arial"/>
          <w:sz w:val="24"/>
          <w:szCs w:val="24"/>
        </w:rPr>
        <w:t>L</w:t>
      </w:r>
      <w:r w:rsidRPr="002337B2">
        <w:rPr>
          <w:rFonts w:ascii="Arial" w:hAnsi="Arial" w:cs="Arial"/>
          <w:sz w:val="24"/>
          <w:szCs w:val="24"/>
          <w:vertAlign w:val="superscript"/>
        </w:rPr>
        <w:t>-1</w:t>
      </w:r>
      <w:r w:rsidRPr="002337B2">
        <w:rPr>
          <w:rFonts w:ascii="Arial" w:hAnsi="Arial" w:cs="Arial"/>
          <w:sz w:val="24"/>
          <w:szCs w:val="24"/>
        </w:rPr>
        <w:t>.</w:t>
      </w:r>
    </w:p>
    <w:p w14:paraId="6AFD9F48" w14:textId="77777777" w:rsidR="00BC19B5" w:rsidRPr="002337B2" w:rsidRDefault="00BC19B5" w:rsidP="00CB468F">
      <w:pPr>
        <w:spacing w:after="0" w:line="240" w:lineRule="auto"/>
        <w:jc w:val="both"/>
        <w:rPr>
          <w:rFonts w:ascii="Arial" w:hAnsi="Arial" w:cs="Arial"/>
          <w:sz w:val="24"/>
          <w:szCs w:val="24"/>
        </w:rPr>
      </w:pPr>
    </w:p>
    <w:p w14:paraId="0489D362" w14:textId="77777777" w:rsidR="00CB468F" w:rsidRPr="002337B2" w:rsidRDefault="00CB468F" w:rsidP="00CB468F">
      <w:pPr>
        <w:spacing w:after="0" w:line="240" w:lineRule="auto"/>
        <w:jc w:val="both"/>
        <w:rPr>
          <w:rFonts w:ascii="Arial" w:hAnsi="Arial" w:cs="Arial"/>
          <w:sz w:val="24"/>
          <w:szCs w:val="24"/>
        </w:rPr>
      </w:pPr>
      <w:r w:rsidRPr="002337B2">
        <w:rPr>
          <w:rFonts w:ascii="Arial" w:hAnsi="Arial" w:cs="Arial"/>
          <w:sz w:val="24"/>
          <w:szCs w:val="24"/>
        </w:rPr>
        <w:t>On dispose de fioles jaugées (50,0 mL ; 100,0 mL ; 200,0 mL) et de pipettes jaugées (10,0 mL ; 20,0 mL ; 25,0 mL).</w:t>
      </w:r>
    </w:p>
    <w:p w14:paraId="597C888C" w14:textId="77777777" w:rsidR="00BC19B5" w:rsidRPr="002337B2" w:rsidRDefault="00BC19B5" w:rsidP="00CB468F">
      <w:pPr>
        <w:spacing w:after="0" w:line="240" w:lineRule="auto"/>
        <w:jc w:val="both"/>
        <w:rPr>
          <w:rFonts w:ascii="Arial" w:hAnsi="Arial" w:cs="Arial"/>
          <w:sz w:val="24"/>
          <w:szCs w:val="24"/>
        </w:rPr>
      </w:pPr>
    </w:p>
    <w:p w14:paraId="5A704253" w14:textId="77777777" w:rsidR="00BC19B5" w:rsidRPr="002337B2" w:rsidRDefault="00CB468F" w:rsidP="00CB468F">
      <w:pPr>
        <w:pStyle w:val="Paragraphedeliste"/>
        <w:numPr>
          <w:ilvl w:val="0"/>
          <w:numId w:val="6"/>
        </w:numPr>
        <w:spacing w:after="0" w:line="240" w:lineRule="auto"/>
        <w:jc w:val="both"/>
        <w:rPr>
          <w:rFonts w:ascii="Arial" w:hAnsi="Arial" w:cs="Arial"/>
          <w:sz w:val="24"/>
          <w:szCs w:val="24"/>
        </w:rPr>
      </w:pPr>
      <w:r w:rsidRPr="002337B2">
        <w:rPr>
          <w:rFonts w:ascii="Arial" w:hAnsi="Arial" w:cs="Arial"/>
          <w:sz w:val="24"/>
          <w:szCs w:val="24"/>
        </w:rPr>
        <w:t>Indiquer la verrerie à utiliser pour effectuer cette dilution avec un seul prélèvement de S</w:t>
      </w:r>
      <w:r w:rsidR="00BC19B5" w:rsidRPr="002337B2">
        <w:rPr>
          <w:rFonts w:ascii="Arial" w:hAnsi="Arial" w:cs="Arial"/>
          <w:sz w:val="24"/>
          <w:szCs w:val="24"/>
          <w:vertAlign w:val="subscript"/>
        </w:rPr>
        <w:t>0</w:t>
      </w:r>
      <w:r w:rsidRPr="002337B2">
        <w:rPr>
          <w:rFonts w:ascii="Arial" w:hAnsi="Arial" w:cs="Arial"/>
          <w:sz w:val="24"/>
          <w:szCs w:val="24"/>
        </w:rPr>
        <w:t>. Expliquer la réponse.</w:t>
      </w:r>
    </w:p>
    <w:p w14:paraId="2D356EC7" w14:textId="77777777" w:rsidR="00BC19B5" w:rsidRPr="002337B2" w:rsidRDefault="00BC19B5" w:rsidP="00BC19B5">
      <w:pPr>
        <w:pStyle w:val="Paragraphedeliste"/>
        <w:spacing w:after="0" w:line="240" w:lineRule="auto"/>
        <w:ind w:left="360"/>
        <w:jc w:val="both"/>
        <w:rPr>
          <w:rFonts w:ascii="Arial" w:hAnsi="Arial" w:cs="Arial"/>
          <w:sz w:val="24"/>
          <w:szCs w:val="24"/>
        </w:rPr>
      </w:pPr>
    </w:p>
    <w:p w14:paraId="7178947A" w14:textId="77777777" w:rsidR="00BC19B5" w:rsidRPr="002337B2" w:rsidRDefault="00CB468F" w:rsidP="00CB468F">
      <w:pPr>
        <w:pStyle w:val="Paragraphedeliste"/>
        <w:numPr>
          <w:ilvl w:val="0"/>
          <w:numId w:val="6"/>
        </w:numPr>
        <w:spacing w:after="0" w:line="240" w:lineRule="auto"/>
        <w:jc w:val="both"/>
        <w:rPr>
          <w:rFonts w:ascii="Arial" w:hAnsi="Arial" w:cs="Arial"/>
          <w:sz w:val="24"/>
          <w:szCs w:val="24"/>
        </w:rPr>
      </w:pPr>
      <w:r w:rsidRPr="002337B2">
        <w:rPr>
          <w:rFonts w:ascii="Arial" w:hAnsi="Arial" w:cs="Arial"/>
          <w:sz w:val="24"/>
          <w:szCs w:val="24"/>
        </w:rPr>
        <w:t>Écrire l'équation de la réaction support du titrage puis définir l’équivalence.</w:t>
      </w:r>
    </w:p>
    <w:p w14:paraId="39E4FC57" w14:textId="77777777" w:rsidR="00BC19B5" w:rsidRPr="002337B2" w:rsidRDefault="00BC19B5" w:rsidP="00BC19B5">
      <w:pPr>
        <w:pStyle w:val="Paragraphedeliste"/>
        <w:rPr>
          <w:rFonts w:ascii="Arial" w:hAnsi="Arial" w:cs="Arial"/>
          <w:sz w:val="24"/>
          <w:szCs w:val="24"/>
        </w:rPr>
      </w:pPr>
    </w:p>
    <w:p w14:paraId="4122E4EA" w14:textId="2772672A" w:rsidR="00CB468F" w:rsidRPr="002337B2" w:rsidRDefault="00CB468F" w:rsidP="00BC19B5">
      <w:pPr>
        <w:spacing w:after="0" w:line="240" w:lineRule="auto"/>
        <w:jc w:val="both"/>
        <w:rPr>
          <w:rFonts w:ascii="Arial" w:hAnsi="Arial" w:cs="Arial"/>
          <w:sz w:val="24"/>
          <w:szCs w:val="24"/>
        </w:rPr>
      </w:pPr>
      <w:r w:rsidRPr="002337B2">
        <w:rPr>
          <w:rFonts w:ascii="Arial" w:hAnsi="Arial" w:cs="Arial"/>
          <w:sz w:val="24"/>
          <w:szCs w:val="24"/>
        </w:rPr>
        <w:t>On dispose de trois indicateurs colorés acidobasiques.</w:t>
      </w:r>
    </w:p>
    <w:p w14:paraId="1029D0A9" w14:textId="77777777" w:rsidR="00BC19B5" w:rsidRPr="002337B2" w:rsidRDefault="00BC19B5" w:rsidP="00BC19B5">
      <w:pPr>
        <w:spacing w:after="0" w:line="240" w:lineRule="auto"/>
        <w:jc w:val="both"/>
        <w:rPr>
          <w:rFonts w:ascii="Arial" w:hAnsi="Arial" w:cs="Arial"/>
          <w:sz w:val="24"/>
          <w:szCs w:val="24"/>
        </w:rPr>
      </w:pPr>
    </w:p>
    <w:tbl>
      <w:tblPr>
        <w:tblStyle w:val="Grilledutableau"/>
        <w:tblW w:w="0" w:type="auto"/>
        <w:tblInd w:w="279" w:type="dxa"/>
        <w:tblLook w:val="04A0" w:firstRow="1" w:lastRow="0" w:firstColumn="1" w:lastColumn="0" w:noHBand="0" w:noVBand="1"/>
      </w:tblPr>
      <w:tblGrid>
        <w:gridCol w:w="2551"/>
        <w:gridCol w:w="2266"/>
        <w:gridCol w:w="2549"/>
        <w:gridCol w:w="2131"/>
      </w:tblGrid>
      <w:tr w:rsidR="00BC19B5" w:rsidRPr="002337B2" w14:paraId="33486836" w14:textId="77777777" w:rsidTr="002337B2">
        <w:trPr>
          <w:trHeight w:val="329"/>
        </w:trPr>
        <w:tc>
          <w:tcPr>
            <w:tcW w:w="2551" w:type="dxa"/>
            <w:vAlign w:val="center"/>
          </w:tcPr>
          <w:p w14:paraId="5EB03345" w14:textId="1A61F858" w:rsidR="00BC19B5" w:rsidRPr="002337B2" w:rsidRDefault="00BC19B5" w:rsidP="00BC19B5">
            <w:pPr>
              <w:jc w:val="center"/>
              <w:rPr>
                <w:rFonts w:ascii="Arial" w:hAnsi="Arial" w:cs="Arial"/>
                <w:sz w:val="24"/>
                <w:szCs w:val="24"/>
              </w:rPr>
            </w:pPr>
            <w:r w:rsidRPr="002337B2">
              <w:rPr>
                <w:rFonts w:ascii="Arial" w:hAnsi="Arial" w:cs="Arial"/>
                <w:sz w:val="24"/>
                <w:szCs w:val="24"/>
              </w:rPr>
              <w:t>Indicateur coloré</w:t>
            </w:r>
          </w:p>
        </w:tc>
        <w:tc>
          <w:tcPr>
            <w:tcW w:w="2266" w:type="dxa"/>
            <w:vAlign w:val="center"/>
          </w:tcPr>
          <w:p w14:paraId="28ABCF0B" w14:textId="39BDDAB5" w:rsidR="00BC19B5" w:rsidRPr="002337B2" w:rsidRDefault="00BC19B5" w:rsidP="00BC19B5">
            <w:pPr>
              <w:jc w:val="center"/>
              <w:rPr>
                <w:rFonts w:ascii="Arial" w:hAnsi="Arial" w:cs="Arial"/>
                <w:sz w:val="24"/>
                <w:szCs w:val="24"/>
              </w:rPr>
            </w:pPr>
            <w:r w:rsidRPr="002337B2">
              <w:rPr>
                <w:rFonts w:ascii="Arial" w:hAnsi="Arial" w:cs="Arial"/>
                <w:sz w:val="24"/>
                <w:szCs w:val="24"/>
              </w:rPr>
              <w:t>Teinte de la forme acide</w:t>
            </w:r>
          </w:p>
        </w:tc>
        <w:tc>
          <w:tcPr>
            <w:tcW w:w="2549" w:type="dxa"/>
            <w:vAlign w:val="center"/>
          </w:tcPr>
          <w:p w14:paraId="6232910A" w14:textId="0D9531EA" w:rsidR="00BC19B5" w:rsidRPr="002337B2" w:rsidRDefault="00BC19B5" w:rsidP="00BC19B5">
            <w:pPr>
              <w:jc w:val="center"/>
              <w:rPr>
                <w:rFonts w:ascii="Arial" w:hAnsi="Arial" w:cs="Arial"/>
                <w:sz w:val="24"/>
                <w:szCs w:val="24"/>
              </w:rPr>
            </w:pPr>
            <w:r w:rsidRPr="002337B2">
              <w:rPr>
                <w:rFonts w:ascii="Arial" w:hAnsi="Arial" w:cs="Arial"/>
                <w:sz w:val="24"/>
                <w:szCs w:val="24"/>
              </w:rPr>
              <w:t>Zone de virage</w:t>
            </w:r>
          </w:p>
        </w:tc>
        <w:tc>
          <w:tcPr>
            <w:tcW w:w="2131" w:type="dxa"/>
            <w:vAlign w:val="center"/>
          </w:tcPr>
          <w:p w14:paraId="48F327BD" w14:textId="31493E27" w:rsidR="00BC19B5" w:rsidRPr="002337B2" w:rsidRDefault="00BC19B5" w:rsidP="00BC19B5">
            <w:pPr>
              <w:jc w:val="center"/>
              <w:rPr>
                <w:rFonts w:ascii="Arial" w:hAnsi="Arial" w:cs="Arial"/>
                <w:sz w:val="24"/>
                <w:szCs w:val="24"/>
              </w:rPr>
            </w:pPr>
            <w:r w:rsidRPr="002337B2">
              <w:rPr>
                <w:rFonts w:ascii="Arial" w:hAnsi="Arial" w:cs="Arial"/>
                <w:sz w:val="24"/>
                <w:szCs w:val="24"/>
              </w:rPr>
              <w:t>Teinte de la forme basique</w:t>
            </w:r>
          </w:p>
        </w:tc>
      </w:tr>
      <w:tr w:rsidR="00BC19B5" w:rsidRPr="002337B2" w14:paraId="01AB3EA5" w14:textId="77777777" w:rsidTr="002337B2">
        <w:trPr>
          <w:trHeight w:val="483"/>
        </w:trPr>
        <w:tc>
          <w:tcPr>
            <w:tcW w:w="2551" w:type="dxa"/>
            <w:vAlign w:val="center"/>
          </w:tcPr>
          <w:p w14:paraId="7BD29E54" w14:textId="3404F154" w:rsidR="00BC19B5" w:rsidRPr="002337B2" w:rsidRDefault="00BC19B5" w:rsidP="00BC19B5">
            <w:pPr>
              <w:jc w:val="center"/>
              <w:rPr>
                <w:rFonts w:ascii="Arial" w:hAnsi="Arial" w:cs="Arial"/>
                <w:sz w:val="24"/>
                <w:szCs w:val="24"/>
              </w:rPr>
            </w:pPr>
            <w:r w:rsidRPr="002337B2">
              <w:rPr>
                <w:rFonts w:ascii="Arial" w:hAnsi="Arial" w:cs="Arial"/>
                <w:sz w:val="24"/>
                <w:szCs w:val="24"/>
              </w:rPr>
              <w:t>Hélianthine</w:t>
            </w:r>
          </w:p>
        </w:tc>
        <w:tc>
          <w:tcPr>
            <w:tcW w:w="2266" w:type="dxa"/>
            <w:vAlign w:val="center"/>
          </w:tcPr>
          <w:p w14:paraId="5A10FDFE" w14:textId="72EEE816" w:rsidR="00BC19B5" w:rsidRPr="002337B2" w:rsidRDefault="00BC19B5" w:rsidP="00BC19B5">
            <w:pPr>
              <w:jc w:val="center"/>
              <w:rPr>
                <w:rFonts w:ascii="Arial" w:hAnsi="Arial" w:cs="Arial"/>
                <w:sz w:val="24"/>
                <w:szCs w:val="24"/>
              </w:rPr>
            </w:pPr>
            <w:proofErr w:type="gramStart"/>
            <w:r w:rsidRPr="002337B2">
              <w:rPr>
                <w:rFonts w:ascii="Arial" w:hAnsi="Arial" w:cs="Arial"/>
                <w:sz w:val="24"/>
                <w:szCs w:val="24"/>
              </w:rPr>
              <w:t>rouge</w:t>
            </w:r>
            <w:proofErr w:type="gramEnd"/>
          </w:p>
        </w:tc>
        <w:tc>
          <w:tcPr>
            <w:tcW w:w="2549" w:type="dxa"/>
            <w:vAlign w:val="center"/>
          </w:tcPr>
          <w:p w14:paraId="58ECCE51" w14:textId="74D1477F" w:rsidR="00BC19B5" w:rsidRPr="002337B2" w:rsidRDefault="00BC19B5" w:rsidP="00BC19B5">
            <w:pPr>
              <w:jc w:val="center"/>
              <w:rPr>
                <w:rFonts w:ascii="Arial" w:hAnsi="Arial" w:cs="Arial"/>
                <w:sz w:val="24"/>
                <w:szCs w:val="24"/>
              </w:rPr>
            </w:pPr>
            <w:r w:rsidRPr="002337B2">
              <w:rPr>
                <w:rFonts w:ascii="Arial" w:hAnsi="Arial" w:cs="Arial"/>
                <w:sz w:val="24"/>
                <w:szCs w:val="24"/>
              </w:rPr>
              <w:t xml:space="preserve">3,1 &lt; </w:t>
            </w:r>
            <w:r w:rsidRPr="002337B2">
              <w:rPr>
                <w:rFonts w:ascii="Arial" w:hAnsi="Arial" w:cs="Arial"/>
                <w:i/>
                <w:iCs/>
                <w:sz w:val="24"/>
                <w:szCs w:val="24"/>
              </w:rPr>
              <w:t>pH</w:t>
            </w:r>
            <w:r w:rsidRPr="002337B2">
              <w:rPr>
                <w:rFonts w:ascii="Arial" w:hAnsi="Arial" w:cs="Arial"/>
                <w:sz w:val="24"/>
                <w:szCs w:val="24"/>
              </w:rPr>
              <w:t xml:space="preserve"> &lt; 4,4</w:t>
            </w:r>
          </w:p>
        </w:tc>
        <w:tc>
          <w:tcPr>
            <w:tcW w:w="2131" w:type="dxa"/>
            <w:vAlign w:val="center"/>
          </w:tcPr>
          <w:p w14:paraId="0FB3D97D" w14:textId="0E93A182" w:rsidR="00BC19B5" w:rsidRPr="002337B2" w:rsidRDefault="00BC19B5" w:rsidP="00BC19B5">
            <w:pPr>
              <w:jc w:val="center"/>
              <w:rPr>
                <w:rFonts w:ascii="Arial" w:hAnsi="Arial" w:cs="Arial"/>
                <w:sz w:val="24"/>
                <w:szCs w:val="24"/>
              </w:rPr>
            </w:pPr>
            <w:proofErr w:type="gramStart"/>
            <w:r w:rsidRPr="002337B2">
              <w:rPr>
                <w:rFonts w:ascii="Arial" w:hAnsi="Arial" w:cs="Arial"/>
                <w:sz w:val="24"/>
                <w:szCs w:val="24"/>
              </w:rPr>
              <w:t>jaune</w:t>
            </w:r>
            <w:proofErr w:type="gramEnd"/>
          </w:p>
        </w:tc>
      </w:tr>
      <w:tr w:rsidR="00BC19B5" w:rsidRPr="002337B2" w14:paraId="68893323" w14:textId="77777777" w:rsidTr="002337B2">
        <w:trPr>
          <w:trHeight w:val="419"/>
        </w:trPr>
        <w:tc>
          <w:tcPr>
            <w:tcW w:w="2551" w:type="dxa"/>
            <w:vAlign w:val="center"/>
          </w:tcPr>
          <w:p w14:paraId="218EF631" w14:textId="262C6C76" w:rsidR="00BC19B5" w:rsidRPr="002337B2" w:rsidRDefault="00BC19B5" w:rsidP="00BC19B5">
            <w:pPr>
              <w:jc w:val="center"/>
              <w:rPr>
                <w:rFonts w:ascii="Arial" w:hAnsi="Arial" w:cs="Arial"/>
                <w:sz w:val="24"/>
                <w:szCs w:val="24"/>
              </w:rPr>
            </w:pPr>
            <w:r w:rsidRPr="002337B2">
              <w:rPr>
                <w:rFonts w:ascii="Arial" w:hAnsi="Arial" w:cs="Arial"/>
                <w:sz w:val="24"/>
                <w:szCs w:val="24"/>
              </w:rPr>
              <w:t>Bleu de bromothymol</w:t>
            </w:r>
          </w:p>
        </w:tc>
        <w:tc>
          <w:tcPr>
            <w:tcW w:w="2266" w:type="dxa"/>
            <w:vAlign w:val="center"/>
          </w:tcPr>
          <w:p w14:paraId="04877CC4" w14:textId="0E33213C" w:rsidR="00BC19B5" w:rsidRPr="002337B2" w:rsidRDefault="00BC19B5" w:rsidP="00BC19B5">
            <w:pPr>
              <w:jc w:val="center"/>
              <w:rPr>
                <w:rFonts w:ascii="Arial" w:hAnsi="Arial" w:cs="Arial"/>
                <w:sz w:val="24"/>
                <w:szCs w:val="24"/>
              </w:rPr>
            </w:pPr>
            <w:proofErr w:type="gramStart"/>
            <w:r w:rsidRPr="002337B2">
              <w:rPr>
                <w:rFonts w:ascii="Arial" w:hAnsi="Arial" w:cs="Arial"/>
                <w:sz w:val="24"/>
                <w:szCs w:val="24"/>
              </w:rPr>
              <w:t>jaune</w:t>
            </w:r>
            <w:proofErr w:type="gramEnd"/>
          </w:p>
        </w:tc>
        <w:tc>
          <w:tcPr>
            <w:tcW w:w="2549" w:type="dxa"/>
            <w:vAlign w:val="center"/>
          </w:tcPr>
          <w:p w14:paraId="5CCA0FD7" w14:textId="5844D4C3" w:rsidR="00BC19B5" w:rsidRPr="002337B2" w:rsidRDefault="00BC19B5" w:rsidP="00BC19B5">
            <w:pPr>
              <w:jc w:val="center"/>
              <w:rPr>
                <w:rFonts w:ascii="Arial" w:hAnsi="Arial" w:cs="Arial"/>
                <w:sz w:val="24"/>
                <w:szCs w:val="24"/>
              </w:rPr>
            </w:pPr>
            <w:r w:rsidRPr="002337B2">
              <w:rPr>
                <w:rFonts w:ascii="Arial" w:hAnsi="Arial" w:cs="Arial"/>
                <w:sz w:val="24"/>
                <w:szCs w:val="24"/>
              </w:rPr>
              <w:t xml:space="preserve">6,0 &lt; </w:t>
            </w:r>
            <w:r w:rsidRPr="002337B2">
              <w:rPr>
                <w:rFonts w:ascii="Arial" w:hAnsi="Arial" w:cs="Arial"/>
                <w:i/>
                <w:iCs/>
                <w:sz w:val="24"/>
                <w:szCs w:val="24"/>
              </w:rPr>
              <w:t>pH</w:t>
            </w:r>
            <w:r w:rsidRPr="002337B2">
              <w:rPr>
                <w:rFonts w:ascii="Arial" w:hAnsi="Arial" w:cs="Arial"/>
                <w:sz w:val="24"/>
                <w:szCs w:val="24"/>
              </w:rPr>
              <w:t xml:space="preserve"> &lt; 7,6</w:t>
            </w:r>
          </w:p>
        </w:tc>
        <w:tc>
          <w:tcPr>
            <w:tcW w:w="2131" w:type="dxa"/>
            <w:vAlign w:val="center"/>
          </w:tcPr>
          <w:p w14:paraId="4ECEA47D" w14:textId="4191AEAC" w:rsidR="00BC19B5" w:rsidRPr="002337B2" w:rsidRDefault="00BC19B5" w:rsidP="00BC19B5">
            <w:pPr>
              <w:jc w:val="center"/>
              <w:rPr>
                <w:rFonts w:ascii="Arial" w:hAnsi="Arial" w:cs="Arial"/>
                <w:sz w:val="24"/>
                <w:szCs w:val="24"/>
              </w:rPr>
            </w:pPr>
            <w:proofErr w:type="gramStart"/>
            <w:r w:rsidRPr="002337B2">
              <w:rPr>
                <w:rFonts w:ascii="Arial" w:hAnsi="Arial" w:cs="Arial"/>
                <w:sz w:val="24"/>
                <w:szCs w:val="24"/>
              </w:rPr>
              <w:t>bleu</w:t>
            </w:r>
            <w:proofErr w:type="gramEnd"/>
          </w:p>
        </w:tc>
      </w:tr>
      <w:tr w:rsidR="00BC19B5" w:rsidRPr="002337B2" w14:paraId="6B230ECB" w14:textId="77777777" w:rsidTr="002337B2">
        <w:trPr>
          <w:trHeight w:val="548"/>
        </w:trPr>
        <w:tc>
          <w:tcPr>
            <w:tcW w:w="2551" w:type="dxa"/>
            <w:vAlign w:val="center"/>
          </w:tcPr>
          <w:p w14:paraId="727BBCD9" w14:textId="47C23C65" w:rsidR="00BC19B5" w:rsidRPr="002337B2" w:rsidRDefault="00BC19B5" w:rsidP="00BC19B5">
            <w:pPr>
              <w:jc w:val="center"/>
              <w:rPr>
                <w:rFonts w:ascii="Arial" w:hAnsi="Arial" w:cs="Arial"/>
                <w:sz w:val="24"/>
                <w:szCs w:val="24"/>
              </w:rPr>
            </w:pPr>
            <w:r w:rsidRPr="002337B2">
              <w:rPr>
                <w:rFonts w:ascii="Arial" w:hAnsi="Arial" w:cs="Arial"/>
                <w:sz w:val="24"/>
                <w:szCs w:val="24"/>
              </w:rPr>
              <w:t>Jaune d’alizarine</w:t>
            </w:r>
          </w:p>
        </w:tc>
        <w:tc>
          <w:tcPr>
            <w:tcW w:w="2266" w:type="dxa"/>
            <w:vAlign w:val="center"/>
          </w:tcPr>
          <w:p w14:paraId="1008C9B2" w14:textId="620AAAEA" w:rsidR="00BC19B5" w:rsidRPr="002337B2" w:rsidRDefault="00BC19B5" w:rsidP="00BC19B5">
            <w:pPr>
              <w:jc w:val="center"/>
              <w:rPr>
                <w:rFonts w:ascii="Arial" w:hAnsi="Arial" w:cs="Arial"/>
                <w:sz w:val="24"/>
                <w:szCs w:val="24"/>
              </w:rPr>
            </w:pPr>
            <w:proofErr w:type="gramStart"/>
            <w:r w:rsidRPr="002337B2">
              <w:rPr>
                <w:rFonts w:ascii="Arial" w:hAnsi="Arial" w:cs="Arial"/>
                <w:sz w:val="24"/>
                <w:szCs w:val="24"/>
              </w:rPr>
              <w:t>jaune</w:t>
            </w:r>
            <w:proofErr w:type="gramEnd"/>
          </w:p>
        </w:tc>
        <w:tc>
          <w:tcPr>
            <w:tcW w:w="2549" w:type="dxa"/>
            <w:vAlign w:val="center"/>
          </w:tcPr>
          <w:p w14:paraId="3C2E64B1" w14:textId="6902CFC6" w:rsidR="00BC19B5" w:rsidRPr="002337B2" w:rsidRDefault="00BC19B5" w:rsidP="00BC19B5">
            <w:pPr>
              <w:jc w:val="center"/>
              <w:rPr>
                <w:rFonts w:ascii="Arial" w:hAnsi="Arial" w:cs="Arial"/>
                <w:sz w:val="24"/>
                <w:szCs w:val="24"/>
              </w:rPr>
            </w:pPr>
            <w:r w:rsidRPr="002337B2">
              <w:rPr>
                <w:rFonts w:ascii="Arial" w:hAnsi="Arial" w:cs="Arial"/>
                <w:sz w:val="24"/>
                <w:szCs w:val="24"/>
              </w:rPr>
              <w:t xml:space="preserve">10,1 &lt; </w:t>
            </w:r>
            <w:r w:rsidRPr="002337B2">
              <w:rPr>
                <w:rFonts w:ascii="Arial" w:hAnsi="Arial" w:cs="Arial"/>
                <w:i/>
                <w:iCs/>
                <w:sz w:val="24"/>
                <w:szCs w:val="24"/>
              </w:rPr>
              <w:t>pH</w:t>
            </w:r>
            <w:r w:rsidRPr="002337B2">
              <w:rPr>
                <w:rFonts w:ascii="Arial" w:hAnsi="Arial" w:cs="Arial"/>
                <w:sz w:val="24"/>
                <w:szCs w:val="24"/>
              </w:rPr>
              <w:t xml:space="preserve"> &lt; 12,0</w:t>
            </w:r>
          </w:p>
        </w:tc>
        <w:tc>
          <w:tcPr>
            <w:tcW w:w="2131" w:type="dxa"/>
            <w:vAlign w:val="center"/>
          </w:tcPr>
          <w:p w14:paraId="5AD9A886" w14:textId="517D8101" w:rsidR="00BC19B5" w:rsidRPr="002337B2" w:rsidRDefault="00BC19B5" w:rsidP="00BC19B5">
            <w:pPr>
              <w:jc w:val="center"/>
              <w:rPr>
                <w:rFonts w:ascii="Arial" w:hAnsi="Arial" w:cs="Arial"/>
                <w:sz w:val="24"/>
                <w:szCs w:val="24"/>
              </w:rPr>
            </w:pPr>
            <w:proofErr w:type="gramStart"/>
            <w:r w:rsidRPr="002337B2">
              <w:rPr>
                <w:rFonts w:ascii="Arial" w:hAnsi="Arial" w:cs="Arial"/>
                <w:sz w:val="24"/>
                <w:szCs w:val="24"/>
              </w:rPr>
              <w:t>rouge</w:t>
            </w:r>
            <w:proofErr w:type="gramEnd"/>
          </w:p>
        </w:tc>
      </w:tr>
    </w:tbl>
    <w:p w14:paraId="5CC814DD" w14:textId="77777777" w:rsidR="00BC19B5" w:rsidRPr="002337B2" w:rsidRDefault="00BC19B5" w:rsidP="00BC19B5">
      <w:pPr>
        <w:spacing w:after="0" w:line="240" w:lineRule="auto"/>
        <w:jc w:val="both"/>
        <w:rPr>
          <w:rFonts w:ascii="Arial" w:hAnsi="Arial" w:cs="Arial"/>
          <w:sz w:val="24"/>
          <w:szCs w:val="24"/>
        </w:rPr>
      </w:pPr>
    </w:p>
    <w:p w14:paraId="1800AF9B" w14:textId="77777777" w:rsidR="00BC19B5" w:rsidRPr="002337B2" w:rsidRDefault="00BC19B5" w:rsidP="00CB468F">
      <w:pPr>
        <w:pStyle w:val="Paragraphedeliste"/>
        <w:numPr>
          <w:ilvl w:val="0"/>
          <w:numId w:val="6"/>
        </w:numPr>
        <w:spacing w:after="0" w:line="240" w:lineRule="auto"/>
        <w:jc w:val="both"/>
        <w:rPr>
          <w:rFonts w:ascii="Arial" w:hAnsi="Arial" w:cs="Arial"/>
          <w:sz w:val="24"/>
          <w:szCs w:val="24"/>
        </w:rPr>
      </w:pPr>
      <w:r w:rsidRPr="002337B2">
        <w:rPr>
          <w:rFonts w:ascii="Arial" w:hAnsi="Arial" w:cs="Arial"/>
          <w:sz w:val="24"/>
          <w:szCs w:val="24"/>
        </w:rPr>
        <w:t>J</w:t>
      </w:r>
      <w:r w:rsidR="00CB468F" w:rsidRPr="002337B2">
        <w:rPr>
          <w:rFonts w:ascii="Arial" w:hAnsi="Arial" w:cs="Arial"/>
          <w:sz w:val="24"/>
          <w:szCs w:val="24"/>
        </w:rPr>
        <w:t>ustifier, par un raisonnement détaillé, le choix possible de l’indicateur coloré pour suivre le dosage par titrage colorimétrique.</w:t>
      </w:r>
    </w:p>
    <w:p w14:paraId="3A52CBF7" w14:textId="77777777" w:rsidR="00BC19B5" w:rsidRPr="002337B2" w:rsidRDefault="00BC19B5" w:rsidP="00BC19B5">
      <w:pPr>
        <w:spacing w:after="0" w:line="240" w:lineRule="auto"/>
        <w:jc w:val="both"/>
        <w:rPr>
          <w:rFonts w:ascii="Arial" w:hAnsi="Arial" w:cs="Arial"/>
          <w:sz w:val="24"/>
          <w:szCs w:val="24"/>
        </w:rPr>
      </w:pPr>
    </w:p>
    <w:p w14:paraId="4DB92B14" w14:textId="782934E7" w:rsidR="00CB468F" w:rsidRPr="002337B2" w:rsidRDefault="00CB468F" w:rsidP="00CB468F">
      <w:pPr>
        <w:pStyle w:val="Paragraphedeliste"/>
        <w:numPr>
          <w:ilvl w:val="0"/>
          <w:numId w:val="6"/>
        </w:numPr>
        <w:spacing w:after="0" w:line="240" w:lineRule="auto"/>
        <w:jc w:val="both"/>
        <w:rPr>
          <w:rFonts w:ascii="Arial" w:hAnsi="Arial" w:cs="Arial"/>
          <w:sz w:val="24"/>
          <w:szCs w:val="24"/>
        </w:rPr>
      </w:pPr>
      <w:r w:rsidRPr="002337B2">
        <w:rPr>
          <w:rFonts w:ascii="Arial" w:hAnsi="Arial" w:cs="Arial"/>
          <w:sz w:val="24"/>
          <w:szCs w:val="24"/>
        </w:rPr>
        <w:t>Montrer que la quantité de matière d’ions oxonium dans l’</w:t>
      </w:r>
      <w:proofErr w:type="spellStart"/>
      <w:r w:rsidRPr="002337B2">
        <w:rPr>
          <w:rFonts w:ascii="Arial" w:hAnsi="Arial" w:cs="Arial"/>
          <w:sz w:val="24"/>
          <w:szCs w:val="24"/>
        </w:rPr>
        <w:t>éluat</w:t>
      </w:r>
      <w:proofErr w:type="spellEnd"/>
      <w:r w:rsidRPr="002337B2">
        <w:rPr>
          <w:rFonts w:ascii="Arial" w:hAnsi="Arial" w:cs="Arial"/>
          <w:sz w:val="24"/>
          <w:szCs w:val="24"/>
        </w:rPr>
        <w:t xml:space="preserve"> est égale à 4,0</w:t>
      </w:r>
      <w:r w:rsidR="00BC19B5" w:rsidRPr="002337B2">
        <w:rPr>
          <w:rFonts w:ascii="Arial" w:hAnsi="Arial" w:cs="Arial"/>
          <w:sz w:val="24"/>
          <w:szCs w:val="24"/>
        </w:rPr>
        <w:t xml:space="preserve"> </w:t>
      </w:r>
      <w:r w:rsidR="00871BA1">
        <w:rPr>
          <w:rFonts w:ascii="Arial" w:hAnsi="Arial" w:cs="Arial"/>
          <w:sz w:val="24"/>
          <w:szCs w:val="24"/>
        </w:rPr>
        <w:t>×</w:t>
      </w:r>
      <w:r w:rsidR="00BC19B5" w:rsidRPr="002337B2">
        <w:rPr>
          <w:rFonts w:ascii="Arial" w:hAnsi="Arial" w:cs="Arial"/>
          <w:sz w:val="24"/>
          <w:szCs w:val="24"/>
        </w:rPr>
        <w:t xml:space="preserve"> 1</w:t>
      </w:r>
      <w:r w:rsidRPr="002337B2">
        <w:rPr>
          <w:rFonts w:ascii="Arial" w:hAnsi="Arial" w:cs="Arial"/>
          <w:sz w:val="24"/>
          <w:szCs w:val="24"/>
        </w:rPr>
        <w:t>0</w:t>
      </w:r>
      <w:r w:rsidR="00871BA1">
        <w:rPr>
          <w:rFonts w:ascii="Arial" w:hAnsi="Arial" w:cs="Arial"/>
          <w:sz w:val="24"/>
          <w:szCs w:val="24"/>
          <w:vertAlign w:val="superscript"/>
        </w:rPr>
        <w:t>–</w:t>
      </w:r>
      <w:r w:rsidRPr="002337B2">
        <w:rPr>
          <w:rFonts w:ascii="Arial" w:hAnsi="Arial" w:cs="Arial"/>
          <w:sz w:val="24"/>
          <w:szCs w:val="24"/>
          <w:vertAlign w:val="superscript"/>
        </w:rPr>
        <w:t>4</w:t>
      </w:r>
      <w:r w:rsidRPr="002337B2">
        <w:rPr>
          <w:rFonts w:ascii="Arial" w:hAnsi="Arial" w:cs="Arial"/>
          <w:sz w:val="24"/>
          <w:szCs w:val="24"/>
        </w:rPr>
        <w:t xml:space="preserve"> mol.</w:t>
      </w:r>
    </w:p>
    <w:p w14:paraId="7613FD39" w14:textId="77777777" w:rsidR="00BC19B5" w:rsidRPr="002337B2" w:rsidRDefault="00BC19B5" w:rsidP="00BC19B5">
      <w:pPr>
        <w:pStyle w:val="Paragraphedeliste"/>
        <w:rPr>
          <w:rFonts w:ascii="Arial" w:hAnsi="Arial" w:cs="Arial"/>
          <w:sz w:val="24"/>
          <w:szCs w:val="24"/>
        </w:rPr>
      </w:pPr>
    </w:p>
    <w:p w14:paraId="53B68D89" w14:textId="77777777" w:rsidR="00CB468F" w:rsidRPr="002337B2" w:rsidRDefault="00CB468F" w:rsidP="00CB468F">
      <w:pPr>
        <w:spacing w:after="0" w:line="240" w:lineRule="auto"/>
        <w:jc w:val="both"/>
        <w:rPr>
          <w:rFonts w:ascii="Arial" w:hAnsi="Arial" w:cs="Arial"/>
          <w:sz w:val="24"/>
          <w:szCs w:val="24"/>
        </w:rPr>
      </w:pPr>
      <w:r w:rsidRPr="002337B2">
        <w:rPr>
          <w:rFonts w:ascii="Arial" w:hAnsi="Arial" w:cs="Arial"/>
          <w:sz w:val="24"/>
          <w:szCs w:val="24"/>
        </w:rPr>
        <w:t>Pour les adultes, le besoin quotidien en magnésium est estimé à 6,0 mg par kilogramme de masse corporelle.</w:t>
      </w:r>
    </w:p>
    <w:p w14:paraId="724ADD3A" w14:textId="77777777" w:rsidR="00BC19B5" w:rsidRPr="002337B2" w:rsidRDefault="00BC19B5" w:rsidP="00CB468F">
      <w:pPr>
        <w:spacing w:after="0" w:line="240" w:lineRule="auto"/>
        <w:jc w:val="both"/>
        <w:rPr>
          <w:rFonts w:ascii="Arial" w:hAnsi="Arial" w:cs="Arial"/>
          <w:sz w:val="24"/>
          <w:szCs w:val="24"/>
        </w:rPr>
      </w:pPr>
    </w:p>
    <w:p w14:paraId="1D60907F" w14:textId="064D0216" w:rsidR="00CB468F" w:rsidRPr="002337B2" w:rsidRDefault="00CB468F" w:rsidP="00BC19B5">
      <w:pPr>
        <w:pStyle w:val="Paragraphedeliste"/>
        <w:numPr>
          <w:ilvl w:val="0"/>
          <w:numId w:val="6"/>
        </w:numPr>
        <w:spacing w:after="0" w:line="240" w:lineRule="auto"/>
        <w:jc w:val="both"/>
        <w:rPr>
          <w:rFonts w:ascii="Arial" w:hAnsi="Arial" w:cs="Arial"/>
          <w:sz w:val="24"/>
          <w:szCs w:val="24"/>
        </w:rPr>
      </w:pPr>
      <w:r w:rsidRPr="002337B2">
        <w:rPr>
          <w:rFonts w:ascii="Arial" w:hAnsi="Arial" w:cs="Arial"/>
          <w:b/>
          <w:bCs/>
          <w:sz w:val="24"/>
          <w:szCs w:val="24"/>
        </w:rPr>
        <w:t>Résolution de problème</w:t>
      </w:r>
      <w:r w:rsidRPr="002337B2">
        <w:rPr>
          <w:rFonts w:ascii="Arial" w:hAnsi="Arial" w:cs="Arial"/>
          <w:sz w:val="24"/>
          <w:szCs w:val="24"/>
        </w:rPr>
        <w:t xml:space="preserve"> : </w:t>
      </w:r>
      <w:r w:rsidRPr="002337B2">
        <w:rPr>
          <w:rFonts w:ascii="Arial" w:hAnsi="Arial" w:cs="Arial"/>
          <w:i/>
          <w:iCs/>
          <w:sz w:val="24"/>
          <w:szCs w:val="24"/>
        </w:rPr>
        <w:t>le candidat est invité à prendre des initiatives, à indiquer les hypothèses qu’il est amené à formuler et à présenter la démarche suivie même si elle n’a pas abouti. La démarche suivie est évaluée et nécessite d’être correctement présentée.</w:t>
      </w:r>
    </w:p>
    <w:p w14:paraId="6A130B94" w14:textId="77777777" w:rsidR="00BC19B5" w:rsidRPr="002337B2" w:rsidRDefault="00BC19B5" w:rsidP="00BC19B5">
      <w:pPr>
        <w:spacing w:after="0" w:line="240" w:lineRule="auto"/>
        <w:jc w:val="both"/>
        <w:rPr>
          <w:rFonts w:ascii="Arial" w:hAnsi="Arial" w:cs="Arial"/>
          <w:sz w:val="24"/>
          <w:szCs w:val="24"/>
        </w:rPr>
      </w:pPr>
    </w:p>
    <w:p w14:paraId="1C9415CE" w14:textId="77777777" w:rsidR="00CB468F" w:rsidRPr="002337B2" w:rsidRDefault="00CB468F" w:rsidP="00CB468F">
      <w:pPr>
        <w:spacing w:after="0" w:line="240" w:lineRule="auto"/>
        <w:jc w:val="both"/>
        <w:rPr>
          <w:rFonts w:ascii="Arial" w:hAnsi="Arial" w:cs="Arial"/>
          <w:sz w:val="24"/>
          <w:szCs w:val="24"/>
        </w:rPr>
      </w:pPr>
      <w:r w:rsidRPr="002337B2">
        <w:rPr>
          <w:rFonts w:ascii="Arial" w:hAnsi="Arial" w:cs="Arial"/>
          <w:sz w:val="24"/>
          <w:szCs w:val="24"/>
        </w:rPr>
        <w:t>Déterminer le nombre de comprimés de médicament qui apporteraient, à un adulte en manque de magnésium, la masse de magnésium préconisée par jour.</w:t>
      </w:r>
    </w:p>
    <w:p w14:paraId="24069125" w14:textId="77777777" w:rsidR="00BC19B5" w:rsidRPr="002337B2" w:rsidRDefault="00BC19B5" w:rsidP="00CB468F">
      <w:pPr>
        <w:spacing w:after="0" w:line="240" w:lineRule="auto"/>
        <w:jc w:val="both"/>
        <w:rPr>
          <w:rFonts w:ascii="Arial" w:hAnsi="Arial" w:cs="Arial"/>
          <w:sz w:val="24"/>
          <w:szCs w:val="24"/>
        </w:rPr>
      </w:pPr>
    </w:p>
    <w:p w14:paraId="730F474D" w14:textId="7815461E" w:rsidR="0087301A" w:rsidRPr="002337B2" w:rsidRDefault="00CB468F" w:rsidP="00CB468F">
      <w:pPr>
        <w:spacing w:after="0" w:line="240" w:lineRule="auto"/>
        <w:jc w:val="both"/>
        <w:rPr>
          <w:rFonts w:ascii="Arial" w:hAnsi="Arial" w:cs="Arial"/>
          <w:sz w:val="24"/>
          <w:szCs w:val="24"/>
        </w:rPr>
      </w:pPr>
      <w:r w:rsidRPr="002337B2">
        <w:rPr>
          <w:rFonts w:ascii="Arial" w:hAnsi="Arial" w:cs="Arial"/>
          <w:sz w:val="24"/>
          <w:szCs w:val="24"/>
        </w:rPr>
        <w:t>Porter un regard critique sur le résultat obtenu en proposant un moyen de réduire cette consommation médicamenteuse.</w:t>
      </w:r>
    </w:p>
    <w:sectPr w:rsidR="0087301A" w:rsidRPr="002337B2" w:rsidSect="00904138">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6E750E"/>
    <w:multiLevelType w:val="hybridMultilevel"/>
    <w:tmpl w:val="E43EA1C2"/>
    <w:lvl w:ilvl="0" w:tplc="2BEC5242">
      <w:start w:val="1"/>
      <w:numFmt w:val="bullet"/>
      <w:lvlText w:val="‒"/>
      <w:lvlJc w:val="left"/>
      <w:pPr>
        <w:ind w:left="720" w:hanging="360"/>
      </w:pPr>
      <w:rPr>
        <w:rFonts w:ascii="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ECE7D69"/>
    <w:multiLevelType w:val="hybridMultilevel"/>
    <w:tmpl w:val="750CD980"/>
    <w:lvl w:ilvl="0" w:tplc="BD96D352">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B031F9"/>
    <w:multiLevelType w:val="hybridMultilevel"/>
    <w:tmpl w:val="1BA048AE"/>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69A0B71"/>
    <w:multiLevelType w:val="hybridMultilevel"/>
    <w:tmpl w:val="F3C2E088"/>
    <w:lvl w:ilvl="0" w:tplc="C9D6BC9A">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 w15:restartNumberingAfterBreak="0">
    <w:nsid w:val="56A548A5"/>
    <w:multiLevelType w:val="hybridMultilevel"/>
    <w:tmpl w:val="6EDE9256"/>
    <w:lvl w:ilvl="0" w:tplc="C9D6BC9A">
      <w:start w:val="1"/>
      <w:numFmt w:val="decimal"/>
      <w:lvlText w:val="%1."/>
      <w:lvlJc w:val="left"/>
      <w:pPr>
        <w:ind w:left="423" w:hanging="360"/>
      </w:pPr>
      <w:rPr>
        <w:b/>
      </w:rPr>
    </w:lvl>
    <w:lvl w:ilvl="1" w:tplc="040C0019" w:tentative="1">
      <w:start w:val="1"/>
      <w:numFmt w:val="lowerLetter"/>
      <w:lvlText w:val="%2."/>
      <w:lvlJc w:val="left"/>
      <w:pPr>
        <w:ind w:left="1503" w:hanging="360"/>
      </w:pPr>
    </w:lvl>
    <w:lvl w:ilvl="2" w:tplc="040C001B" w:tentative="1">
      <w:start w:val="1"/>
      <w:numFmt w:val="lowerRoman"/>
      <w:lvlText w:val="%3."/>
      <w:lvlJc w:val="right"/>
      <w:pPr>
        <w:ind w:left="2223" w:hanging="180"/>
      </w:pPr>
    </w:lvl>
    <w:lvl w:ilvl="3" w:tplc="040C000F" w:tentative="1">
      <w:start w:val="1"/>
      <w:numFmt w:val="decimal"/>
      <w:lvlText w:val="%4."/>
      <w:lvlJc w:val="left"/>
      <w:pPr>
        <w:ind w:left="2943" w:hanging="360"/>
      </w:pPr>
    </w:lvl>
    <w:lvl w:ilvl="4" w:tplc="040C0019" w:tentative="1">
      <w:start w:val="1"/>
      <w:numFmt w:val="lowerLetter"/>
      <w:lvlText w:val="%5."/>
      <w:lvlJc w:val="left"/>
      <w:pPr>
        <w:ind w:left="3663" w:hanging="360"/>
      </w:pPr>
    </w:lvl>
    <w:lvl w:ilvl="5" w:tplc="040C001B" w:tentative="1">
      <w:start w:val="1"/>
      <w:numFmt w:val="lowerRoman"/>
      <w:lvlText w:val="%6."/>
      <w:lvlJc w:val="right"/>
      <w:pPr>
        <w:ind w:left="4383" w:hanging="180"/>
      </w:pPr>
    </w:lvl>
    <w:lvl w:ilvl="6" w:tplc="040C000F" w:tentative="1">
      <w:start w:val="1"/>
      <w:numFmt w:val="decimal"/>
      <w:lvlText w:val="%7."/>
      <w:lvlJc w:val="left"/>
      <w:pPr>
        <w:ind w:left="5103" w:hanging="360"/>
      </w:pPr>
    </w:lvl>
    <w:lvl w:ilvl="7" w:tplc="040C0019" w:tentative="1">
      <w:start w:val="1"/>
      <w:numFmt w:val="lowerLetter"/>
      <w:lvlText w:val="%8."/>
      <w:lvlJc w:val="left"/>
      <w:pPr>
        <w:ind w:left="5823" w:hanging="360"/>
      </w:pPr>
    </w:lvl>
    <w:lvl w:ilvl="8" w:tplc="040C001B" w:tentative="1">
      <w:start w:val="1"/>
      <w:numFmt w:val="lowerRoman"/>
      <w:lvlText w:val="%9."/>
      <w:lvlJc w:val="right"/>
      <w:pPr>
        <w:ind w:left="6543" w:hanging="180"/>
      </w:pPr>
    </w:lvl>
  </w:abstractNum>
  <w:abstractNum w:abstractNumId="5" w15:restartNumberingAfterBreak="0">
    <w:nsid w:val="730E3135"/>
    <w:multiLevelType w:val="multilevel"/>
    <w:tmpl w:val="60F88E5C"/>
    <w:lvl w:ilvl="0">
      <w:start w:val="1"/>
      <w:numFmt w:val="decimal"/>
      <w:lvlText w:val="%1."/>
      <w:lvlJc w:val="left"/>
      <w:pPr>
        <w:ind w:left="470" w:hanging="47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75202F1C"/>
    <w:multiLevelType w:val="hybridMultilevel"/>
    <w:tmpl w:val="D090ABE4"/>
    <w:lvl w:ilvl="0" w:tplc="CCB6F998">
      <w:start w:val="2"/>
      <w:numFmt w:val="bullet"/>
      <w:lvlText w:val=""/>
      <w:lvlJc w:val="left"/>
      <w:pPr>
        <w:ind w:left="644" w:hanging="360"/>
      </w:pPr>
      <w:rPr>
        <w:rFonts w:ascii="Wingdings" w:eastAsiaTheme="minorHAnsi"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AE27ED3"/>
    <w:multiLevelType w:val="hybridMultilevel"/>
    <w:tmpl w:val="922E95A0"/>
    <w:lvl w:ilvl="0" w:tplc="C9D6BC9A">
      <w:start w:val="1"/>
      <w:numFmt w:val="decimal"/>
      <w:lvlText w:val="%1."/>
      <w:lvlJc w:val="left"/>
      <w:pPr>
        <w:ind w:left="360" w:hanging="360"/>
      </w:pPr>
      <w:rPr>
        <w:b/>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2029796506">
    <w:abstractNumId w:val="5"/>
  </w:num>
  <w:num w:numId="2" w16cid:durableId="147598150">
    <w:abstractNumId w:val="6"/>
  </w:num>
  <w:num w:numId="3" w16cid:durableId="1043673191">
    <w:abstractNumId w:val="0"/>
  </w:num>
  <w:num w:numId="4" w16cid:durableId="1554997379">
    <w:abstractNumId w:val="1"/>
  </w:num>
  <w:num w:numId="5" w16cid:durableId="1632637576">
    <w:abstractNumId w:val="2"/>
  </w:num>
  <w:num w:numId="6" w16cid:durableId="1874616010">
    <w:abstractNumId w:val="3"/>
  </w:num>
  <w:num w:numId="7" w16cid:durableId="110785021">
    <w:abstractNumId w:val="4"/>
  </w:num>
  <w:num w:numId="8" w16cid:durableId="18728402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3DF"/>
    <w:rsid w:val="00036B43"/>
    <w:rsid w:val="00040449"/>
    <w:rsid w:val="00045384"/>
    <w:rsid w:val="00142394"/>
    <w:rsid w:val="001A533E"/>
    <w:rsid w:val="001E7045"/>
    <w:rsid w:val="002337B2"/>
    <w:rsid w:val="00233A95"/>
    <w:rsid w:val="00234D33"/>
    <w:rsid w:val="002C27A0"/>
    <w:rsid w:val="00356A34"/>
    <w:rsid w:val="00371118"/>
    <w:rsid w:val="00387A6D"/>
    <w:rsid w:val="003D41E2"/>
    <w:rsid w:val="00427E32"/>
    <w:rsid w:val="005847DE"/>
    <w:rsid w:val="005F7BDE"/>
    <w:rsid w:val="00603F7B"/>
    <w:rsid w:val="00772069"/>
    <w:rsid w:val="007A7E69"/>
    <w:rsid w:val="00871BA1"/>
    <w:rsid w:val="0087301A"/>
    <w:rsid w:val="00892CE2"/>
    <w:rsid w:val="00896873"/>
    <w:rsid w:val="00904138"/>
    <w:rsid w:val="009C65EF"/>
    <w:rsid w:val="00A6351E"/>
    <w:rsid w:val="00A86B99"/>
    <w:rsid w:val="00AC0230"/>
    <w:rsid w:val="00AE1E46"/>
    <w:rsid w:val="00B158CD"/>
    <w:rsid w:val="00BB02FA"/>
    <w:rsid w:val="00BC19B5"/>
    <w:rsid w:val="00BF078C"/>
    <w:rsid w:val="00C045DE"/>
    <w:rsid w:val="00C46DCB"/>
    <w:rsid w:val="00C73CD9"/>
    <w:rsid w:val="00CB468F"/>
    <w:rsid w:val="00CF4C4F"/>
    <w:rsid w:val="00E1350F"/>
    <w:rsid w:val="00E76E2E"/>
    <w:rsid w:val="00EB63DF"/>
    <w:rsid w:val="00F0583B"/>
    <w:rsid w:val="00F6224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BC1D28"/>
  <w15:chartTrackingRefBased/>
  <w15:docId w15:val="{2711736A-9098-4DA3-AEF7-94B284D256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B63DF"/>
    <w:pPr>
      <w:ind w:left="720"/>
      <w:contextualSpacing/>
    </w:pPr>
  </w:style>
  <w:style w:type="table" w:styleId="Grilledutableau">
    <w:name w:val="Table Grid"/>
    <w:basedOn w:val="TableauNormal"/>
    <w:uiPriority w:val="39"/>
    <w:rsid w:val="00234D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rsid w:val="001E7045"/>
    <w:rPr>
      <w:color w:val="0563C1" w:themeColor="hyperlink"/>
      <w:u w:val="single"/>
    </w:rPr>
  </w:style>
  <w:style w:type="character" w:styleId="Mentionnonrsolue">
    <w:name w:val="Unresolved Mention"/>
    <w:basedOn w:val="Policepardfaut"/>
    <w:uiPriority w:val="99"/>
    <w:semiHidden/>
    <w:unhideWhenUsed/>
    <w:rsid w:val="001E7045"/>
    <w:rPr>
      <w:color w:val="605E5C"/>
      <w:shd w:val="clear" w:color="auto" w:fill="E1DFDD"/>
    </w:rPr>
  </w:style>
  <w:style w:type="character" w:styleId="Textedelespacerserv">
    <w:name w:val="Placeholder Text"/>
    <w:basedOn w:val="Policepardfaut"/>
    <w:uiPriority w:val="99"/>
    <w:semiHidden/>
    <w:rsid w:val="00892CE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labolycee.org"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537</Words>
  <Characters>2957</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michelnoe.descout</dc:creator>
  <cp:keywords/>
  <dc:description/>
  <cp:lastModifiedBy>Jocelyn CLEMENT</cp:lastModifiedBy>
  <cp:revision>3</cp:revision>
  <cp:lastPrinted>2024-04-27T10:34:00Z</cp:lastPrinted>
  <dcterms:created xsi:type="dcterms:W3CDTF">2024-04-27T10:30:00Z</dcterms:created>
  <dcterms:modified xsi:type="dcterms:W3CDTF">2024-04-27T10:34:00Z</dcterms:modified>
</cp:coreProperties>
</file>