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5960A861" w:rsidR="00040449" w:rsidRDefault="001E7045" w:rsidP="000D6EDC">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 xml:space="preserve">Bac </w:t>
      </w:r>
      <w:r w:rsidR="00DA399A">
        <w:rPr>
          <w:rFonts w:ascii="Arial" w:hAnsi="Arial" w:cs="Arial"/>
          <w:b/>
          <w:bCs/>
          <w:sz w:val="24"/>
          <w:szCs w:val="24"/>
        </w:rPr>
        <w:t xml:space="preserve">Septembre </w:t>
      </w:r>
      <w:r>
        <w:rPr>
          <w:rFonts w:ascii="Arial" w:hAnsi="Arial" w:cs="Arial"/>
          <w:b/>
          <w:bCs/>
          <w:sz w:val="24"/>
          <w:szCs w:val="24"/>
        </w:rPr>
        <w:t>202</w:t>
      </w:r>
      <w:r w:rsidR="00DA399A">
        <w:rPr>
          <w:rFonts w:ascii="Arial" w:hAnsi="Arial" w:cs="Arial"/>
          <w:b/>
          <w:bCs/>
          <w:sz w:val="24"/>
          <w:szCs w:val="24"/>
        </w:rPr>
        <w:t>3</w:t>
      </w:r>
      <w:r w:rsidR="00107A43">
        <w:rPr>
          <w:rFonts w:ascii="Arial" w:hAnsi="Arial" w:cs="Arial"/>
          <w:b/>
          <w:bCs/>
          <w:sz w:val="24"/>
          <w:szCs w:val="24"/>
        </w:rPr>
        <w:t xml:space="preserve"> Métropole</w:t>
      </w:r>
      <w:r>
        <w:rPr>
          <w:rFonts w:ascii="Arial" w:hAnsi="Arial" w:cs="Arial"/>
          <w:b/>
          <w:bCs/>
          <w:sz w:val="24"/>
          <w:szCs w:val="24"/>
        </w:rPr>
        <w:t xml:space="preserve"> Jour </w:t>
      </w:r>
      <w:r w:rsidR="00DA399A">
        <w:rPr>
          <w:rFonts w:ascii="Arial" w:hAnsi="Arial" w:cs="Arial"/>
          <w:b/>
          <w:bCs/>
          <w:sz w:val="24"/>
          <w:szCs w:val="24"/>
        </w:rPr>
        <w:t>1</w:t>
      </w:r>
      <w:r>
        <w:rPr>
          <w:rFonts w:ascii="Arial" w:hAnsi="Arial" w:cs="Arial"/>
          <w:b/>
          <w:bCs/>
          <w:sz w:val="24"/>
          <w:szCs w:val="24"/>
        </w:rPr>
        <w:tab/>
      </w:r>
      <w:hyperlink r:id="rId5" w:history="1">
        <w:r w:rsidRPr="00DB399C">
          <w:rPr>
            <w:rStyle w:val="Lienhypertexte"/>
            <w:rFonts w:ascii="Arial" w:hAnsi="Arial" w:cs="Arial"/>
            <w:b/>
            <w:bCs/>
            <w:sz w:val="24"/>
            <w:szCs w:val="24"/>
          </w:rPr>
          <w:t>https://labolycee.org</w:t>
        </w:r>
      </w:hyperlink>
      <w:r>
        <w:rPr>
          <w:rFonts w:ascii="Arial" w:hAnsi="Arial" w:cs="Arial"/>
          <w:b/>
          <w:bCs/>
          <w:sz w:val="24"/>
          <w:szCs w:val="24"/>
        </w:rPr>
        <w:t xml:space="preserve"> </w:t>
      </w:r>
    </w:p>
    <w:p w14:paraId="0689D52E" w14:textId="77777777" w:rsidR="00F0583B" w:rsidRDefault="00F0583B"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p>
    <w:p w14:paraId="1B7917E5" w14:textId="6A718E21" w:rsidR="00EB63DF" w:rsidRPr="00EB63DF" w:rsidRDefault="00EB63DF"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DA399A">
        <w:rPr>
          <w:rFonts w:ascii="Arial" w:hAnsi="Arial" w:cs="Arial"/>
          <w:b/>
          <w:bCs/>
          <w:sz w:val="24"/>
          <w:szCs w:val="24"/>
        </w:rPr>
        <w:t>3</w:t>
      </w:r>
      <w:r w:rsidRPr="00EB63DF">
        <w:rPr>
          <w:rFonts w:ascii="Arial" w:hAnsi="Arial" w:cs="Arial"/>
          <w:b/>
          <w:bCs/>
          <w:sz w:val="24"/>
          <w:szCs w:val="24"/>
        </w:rPr>
        <w:t xml:space="preserve"> (</w:t>
      </w:r>
      <w:r w:rsidR="00DA399A">
        <w:rPr>
          <w:rFonts w:ascii="Arial" w:hAnsi="Arial" w:cs="Arial"/>
          <w:b/>
          <w:bCs/>
          <w:sz w:val="24"/>
          <w:szCs w:val="24"/>
        </w:rPr>
        <w:t>5</w:t>
      </w:r>
      <w:r w:rsidRPr="00EB63DF">
        <w:rPr>
          <w:rFonts w:ascii="Arial" w:hAnsi="Arial" w:cs="Arial"/>
          <w:b/>
          <w:bCs/>
          <w:sz w:val="24"/>
          <w:szCs w:val="24"/>
        </w:rPr>
        <w:t xml:space="preserve"> points)</w:t>
      </w:r>
    </w:p>
    <w:p w14:paraId="0F967BC5" w14:textId="6AE41C07" w:rsidR="00EB63DF" w:rsidRPr="002C27A0" w:rsidRDefault="00DA399A"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r>
        <w:rPr>
          <w:rFonts w:ascii="Arial" w:hAnsi="Arial" w:cs="Arial"/>
          <w:b/>
          <w:bCs/>
          <w:caps/>
          <w:sz w:val="24"/>
          <w:szCs w:val="24"/>
        </w:rPr>
        <w:t>un savon fait maison</w:t>
      </w:r>
    </w:p>
    <w:p w14:paraId="5EF8DA73" w14:textId="77777777" w:rsidR="00EB63DF" w:rsidRDefault="00EB63DF" w:rsidP="000D6EDC">
      <w:pPr>
        <w:spacing w:after="0" w:line="240" w:lineRule="auto"/>
        <w:jc w:val="both"/>
        <w:rPr>
          <w:rFonts w:ascii="Arial" w:hAnsi="Arial" w:cs="Arial"/>
          <w:sz w:val="24"/>
          <w:szCs w:val="24"/>
        </w:rPr>
      </w:pPr>
    </w:p>
    <w:p w14:paraId="0469E20F" w14:textId="4C141AA0" w:rsidR="00107A43" w:rsidRDefault="00107A43" w:rsidP="000D6EDC">
      <w:pPr>
        <w:spacing w:after="0" w:line="240" w:lineRule="auto"/>
        <w:jc w:val="both"/>
        <w:rPr>
          <w:rFonts w:ascii="Arial" w:hAnsi="Arial" w:cs="Arial"/>
          <w:sz w:val="24"/>
          <w:szCs w:val="24"/>
        </w:rPr>
      </w:pPr>
    </w:p>
    <w:p w14:paraId="3C63C7D8" w14:textId="1E2B4304" w:rsidR="00DA399A" w:rsidRPr="00F54B52" w:rsidRDefault="00DA399A" w:rsidP="00F54B52">
      <w:pPr>
        <w:spacing w:after="120" w:line="240" w:lineRule="auto"/>
        <w:jc w:val="both"/>
        <w:rPr>
          <w:rFonts w:ascii="Arial" w:hAnsi="Arial" w:cs="Arial"/>
          <w:spacing w:val="-4"/>
        </w:rPr>
      </w:pPr>
      <w:r w:rsidRPr="00F54B52">
        <w:rPr>
          <w:rFonts w:ascii="Arial" w:hAnsi="Arial" w:cs="Arial"/>
          <w:spacing w:val="-4"/>
        </w:rPr>
        <w:t>Le savon est un produit d’hygiène connu depuis l’Antiquité. Concurrencé de nos jours par les savons liquides, le savon solide reste très utilisé pour se laver les mains et peut être fabriqué à la maison. La transformation chimique qui en permet la fabrication est la saponification : un corps gras, comme l’huile d’olive, est hydrolysé en milieu basique pour former le savon et du glycérol.</w:t>
      </w:r>
    </w:p>
    <w:p w14:paraId="0BAEF8DF" w14:textId="5C34A1A9" w:rsidR="0070438F" w:rsidRPr="00F54B52" w:rsidRDefault="00DA399A" w:rsidP="00DA399A">
      <w:pPr>
        <w:spacing w:after="0" w:line="240" w:lineRule="auto"/>
        <w:jc w:val="both"/>
        <w:rPr>
          <w:rFonts w:ascii="Arial" w:hAnsi="Arial" w:cs="Arial"/>
          <w:spacing w:val="-2"/>
        </w:rPr>
      </w:pPr>
      <w:r w:rsidRPr="00F54B52">
        <w:rPr>
          <w:rFonts w:ascii="Arial" w:hAnsi="Arial" w:cs="Arial"/>
          <w:spacing w:val="-2"/>
        </w:rPr>
        <w:t>L’objectif de cet exercice est d’analyser un protocole de saponification à froid proposé par un site internet et de le comparer à un protocole de saponification artisanale historique.</w:t>
      </w:r>
    </w:p>
    <w:p w14:paraId="291889E3" w14:textId="77777777" w:rsidR="0070438F" w:rsidRPr="00F54B52" w:rsidRDefault="0070438F" w:rsidP="00B9156F">
      <w:pPr>
        <w:spacing w:after="0" w:line="240" w:lineRule="auto"/>
        <w:jc w:val="both"/>
        <w:rPr>
          <w:rFonts w:ascii="Arial" w:hAnsi="Arial" w:cs="Arial"/>
        </w:rPr>
      </w:pPr>
    </w:p>
    <w:p w14:paraId="003AEBB7" w14:textId="668BB5A9" w:rsidR="00B9156F" w:rsidRPr="00F54B52" w:rsidRDefault="00B9156F" w:rsidP="00B9156F">
      <w:pPr>
        <w:spacing w:after="0" w:line="240" w:lineRule="auto"/>
        <w:jc w:val="both"/>
        <w:rPr>
          <w:rFonts w:ascii="Arial" w:hAnsi="Arial" w:cs="Arial"/>
          <w:b/>
          <w:bCs/>
        </w:rPr>
      </w:pPr>
      <w:r w:rsidRPr="00F54B52">
        <w:rPr>
          <w:rFonts w:ascii="Arial" w:hAnsi="Arial" w:cs="Arial"/>
          <w:b/>
          <w:bCs/>
        </w:rPr>
        <w:t>Données</w:t>
      </w:r>
      <w:r w:rsidR="00DA399A" w:rsidRPr="00F54B52">
        <w:rPr>
          <w:rFonts w:ascii="Arial" w:hAnsi="Arial" w:cs="Arial"/>
          <w:b/>
          <w:bCs/>
        </w:rPr>
        <w:t> :</w:t>
      </w:r>
    </w:p>
    <w:p w14:paraId="6E2C252D" w14:textId="627BC6FC" w:rsidR="00B9156F" w:rsidRPr="00F54B52" w:rsidRDefault="00DA399A" w:rsidP="0070438F">
      <w:pPr>
        <w:pStyle w:val="Paragraphedeliste"/>
        <w:numPr>
          <w:ilvl w:val="0"/>
          <w:numId w:val="25"/>
        </w:numPr>
        <w:tabs>
          <w:tab w:val="left" w:pos="567"/>
        </w:tabs>
        <w:spacing w:after="0" w:line="240" w:lineRule="auto"/>
        <w:ind w:left="567" w:hanging="283"/>
        <w:jc w:val="both"/>
        <w:rPr>
          <w:rFonts w:ascii="Arial" w:hAnsi="Arial" w:cs="Arial"/>
        </w:rPr>
      </w:pPr>
      <w:proofErr w:type="gramStart"/>
      <w:r w:rsidRPr="00F54B52">
        <w:rPr>
          <w:rFonts w:ascii="Arial" w:hAnsi="Arial" w:cs="Arial"/>
        </w:rPr>
        <w:t>dans</w:t>
      </w:r>
      <w:proofErr w:type="gramEnd"/>
      <w:r w:rsidRPr="00F54B52">
        <w:rPr>
          <w:rFonts w:ascii="Arial" w:hAnsi="Arial" w:cs="Arial"/>
        </w:rPr>
        <w:t xml:space="preserve"> tout l’exercice, on considère que l’huile d’olive est uniquement constituée d’oléine ;</w:t>
      </w:r>
    </w:p>
    <w:p w14:paraId="430285B7" w14:textId="10BB5D00" w:rsidR="00DA399A" w:rsidRPr="00F54B52" w:rsidRDefault="00DA399A" w:rsidP="00DA399A">
      <w:pPr>
        <w:pStyle w:val="Paragraphedeliste"/>
        <w:numPr>
          <w:ilvl w:val="0"/>
          <w:numId w:val="25"/>
        </w:numPr>
        <w:tabs>
          <w:tab w:val="left" w:pos="567"/>
        </w:tabs>
        <w:spacing w:after="0" w:line="240" w:lineRule="auto"/>
        <w:ind w:left="567" w:hanging="283"/>
        <w:jc w:val="both"/>
        <w:rPr>
          <w:rFonts w:ascii="Arial" w:hAnsi="Arial" w:cs="Arial"/>
        </w:rPr>
      </w:pPr>
      <w:proofErr w:type="gramStart"/>
      <w:r w:rsidRPr="00F54B52">
        <w:rPr>
          <w:rFonts w:ascii="Arial" w:hAnsi="Arial" w:cs="Arial"/>
        </w:rPr>
        <w:t>masse</w:t>
      </w:r>
      <w:proofErr w:type="gramEnd"/>
      <w:r w:rsidRPr="00F54B52">
        <w:rPr>
          <w:rFonts w:ascii="Arial" w:hAnsi="Arial" w:cs="Arial"/>
        </w:rPr>
        <w:t xml:space="preserve"> volumique de l’huile d’olive : </w:t>
      </w:r>
      <w:r w:rsidRPr="00F54B52">
        <w:rPr>
          <w:rFonts w:ascii="Arial" w:hAnsi="Arial" w:cs="Arial"/>
          <w:i/>
          <w:iCs/>
        </w:rPr>
        <w:t>ρ</w:t>
      </w:r>
      <w:r w:rsidRPr="00F54B52">
        <w:rPr>
          <w:rFonts w:ascii="Arial" w:hAnsi="Arial" w:cs="Arial"/>
        </w:rPr>
        <w:t xml:space="preserve"> = 0,91 </w:t>
      </w:r>
      <w:proofErr w:type="spellStart"/>
      <w:r w:rsidRPr="00F54B52">
        <w:rPr>
          <w:rFonts w:ascii="Arial" w:hAnsi="Arial" w:cs="Arial"/>
        </w:rPr>
        <w:t>g·mL</w:t>
      </w:r>
      <w:proofErr w:type="spellEnd"/>
      <w:r w:rsidRPr="00F54B52">
        <w:rPr>
          <w:rFonts w:ascii="Arial" w:hAnsi="Arial" w:cs="Arial"/>
          <w:vertAlign w:val="superscript"/>
        </w:rPr>
        <w:t>–1</w:t>
      </w:r>
      <w:r w:rsidRPr="00F54B52">
        <w:rPr>
          <w:rFonts w:ascii="Arial" w:hAnsi="Arial" w:cs="Arial"/>
        </w:rPr>
        <w:t> ;</w:t>
      </w:r>
    </w:p>
    <w:p w14:paraId="708A8B38" w14:textId="639ABD8F" w:rsidR="00DA399A" w:rsidRPr="00F54B52" w:rsidRDefault="00DA399A" w:rsidP="00DA399A">
      <w:pPr>
        <w:pStyle w:val="Paragraphedeliste"/>
        <w:numPr>
          <w:ilvl w:val="0"/>
          <w:numId w:val="25"/>
        </w:numPr>
        <w:tabs>
          <w:tab w:val="left" w:pos="567"/>
        </w:tabs>
        <w:spacing w:after="0" w:line="240" w:lineRule="auto"/>
        <w:ind w:left="567" w:hanging="283"/>
        <w:jc w:val="both"/>
        <w:rPr>
          <w:rFonts w:ascii="Arial" w:hAnsi="Arial" w:cs="Arial"/>
        </w:rPr>
      </w:pPr>
      <w:proofErr w:type="gramStart"/>
      <w:r w:rsidRPr="00F54B52">
        <w:rPr>
          <w:rFonts w:ascii="Arial" w:hAnsi="Arial" w:cs="Arial"/>
        </w:rPr>
        <w:t>caractéristiques</w:t>
      </w:r>
      <w:proofErr w:type="gramEnd"/>
      <w:r w:rsidRPr="00F54B52">
        <w:rPr>
          <w:rFonts w:ascii="Arial" w:hAnsi="Arial" w:cs="Arial"/>
        </w:rPr>
        <w:t xml:space="preserve"> des espèces chimiques utilisées :</w:t>
      </w:r>
    </w:p>
    <w:p w14:paraId="39746C8D" w14:textId="77777777" w:rsidR="00733946" w:rsidRPr="00F54B52" w:rsidRDefault="00733946" w:rsidP="00B9156F">
      <w:pPr>
        <w:spacing w:after="0" w:line="240" w:lineRule="auto"/>
        <w:jc w:val="both"/>
        <w:rPr>
          <w:rFonts w:ascii="Arial" w:hAnsi="Arial" w:cs="Arial"/>
        </w:rPr>
      </w:pP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52"/>
        <w:gridCol w:w="2976"/>
        <w:gridCol w:w="1134"/>
        <w:gridCol w:w="1701"/>
        <w:gridCol w:w="1276"/>
        <w:gridCol w:w="1549"/>
      </w:tblGrid>
      <w:tr w:rsidR="00F54B52" w:rsidRPr="00F54B52" w14:paraId="50BA07CD" w14:textId="77777777" w:rsidTr="00F54B52">
        <w:tc>
          <w:tcPr>
            <w:tcW w:w="1552" w:type="dxa"/>
            <w:vAlign w:val="center"/>
          </w:tcPr>
          <w:p w14:paraId="0C3C4A69" w14:textId="73490DEE" w:rsidR="00DA399A" w:rsidRPr="00F54B52" w:rsidRDefault="00F54B52" w:rsidP="00F54B52">
            <w:pPr>
              <w:jc w:val="center"/>
              <w:rPr>
                <w:rFonts w:ascii="Arial" w:hAnsi="Arial" w:cs="Arial"/>
              </w:rPr>
            </w:pPr>
            <w:r w:rsidRPr="00F54B52">
              <w:rPr>
                <w:rFonts w:ascii="Arial" w:hAnsi="Arial" w:cs="Arial"/>
              </w:rPr>
              <w:t>Nom</w:t>
            </w:r>
          </w:p>
        </w:tc>
        <w:tc>
          <w:tcPr>
            <w:tcW w:w="2976" w:type="dxa"/>
            <w:vAlign w:val="center"/>
          </w:tcPr>
          <w:p w14:paraId="7FFF4D45" w14:textId="5E80280A" w:rsidR="00DA399A" w:rsidRPr="00F54B52" w:rsidRDefault="00F54B52" w:rsidP="00DA399A">
            <w:pPr>
              <w:jc w:val="center"/>
              <w:rPr>
                <w:rFonts w:ascii="Arial" w:hAnsi="Arial" w:cs="Arial"/>
              </w:rPr>
            </w:pPr>
            <w:r w:rsidRPr="00F54B52">
              <w:rPr>
                <w:rFonts w:ascii="Arial" w:hAnsi="Arial" w:cs="Arial"/>
              </w:rPr>
              <w:t>Formule</w:t>
            </w:r>
          </w:p>
        </w:tc>
        <w:tc>
          <w:tcPr>
            <w:tcW w:w="1134" w:type="dxa"/>
            <w:vAlign w:val="center"/>
          </w:tcPr>
          <w:p w14:paraId="19DA3A1A" w14:textId="77777777" w:rsidR="00F54B52" w:rsidRPr="00F54B52" w:rsidRDefault="00F54B52" w:rsidP="00F54B52">
            <w:pPr>
              <w:jc w:val="center"/>
              <w:rPr>
                <w:rFonts w:ascii="Arial" w:hAnsi="Arial" w:cs="Arial"/>
              </w:rPr>
            </w:pPr>
            <w:r w:rsidRPr="00F54B52">
              <w:rPr>
                <w:rFonts w:ascii="Arial" w:hAnsi="Arial" w:cs="Arial"/>
              </w:rPr>
              <w:t>Masse</w:t>
            </w:r>
          </w:p>
          <w:p w14:paraId="63F3C5AB" w14:textId="77777777" w:rsidR="00F54B52" w:rsidRPr="00F54B52" w:rsidRDefault="00F54B52" w:rsidP="00F54B52">
            <w:pPr>
              <w:jc w:val="center"/>
              <w:rPr>
                <w:rFonts w:ascii="Arial" w:hAnsi="Arial" w:cs="Arial"/>
              </w:rPr>
            </w:pPr>
            <w:proofErr w:type="gramStart"/>
            <w:r w:rsidRPr="00F54B52">
              <w:rPr>
                <w:rFonts w:ascii="Arial" w:hAnsi="Arial" w:cs="Arial"/>
              </w:rPr>
              <w:t>molaire</w:t>
            </w:r>
            <w:proofErr w:type="gramEnd"/>
          </w:p>
          <w:p w14:paraId="004459F0" w14:textId="343DCAE6" w:rsidR="00DA399A" w:rsidRPr="00F54B52" w:rsidRDefault="00F54B52" w:rsidP="00F54B52">
            <w:pPr>
              <w:jc w:val="center"/>
              <w:rPr>
                <w:rFonts w:ascii="Arial" w:hAnsi="Arial" w:cs="Arial"/>
              </w:rPr>
            </w:pPr>
            <w:r w:rsidRPr="00F54B52">
              <w:rPr>
                <w:rFonts w:ascii="Arial" w:hAnsi="Arial" w:cs="Arial"/>
              </w:rPr>
              <w:t>(</w:t>
            </w:r>
            <w:proofErr w:type="spellStart"/>
            <w:proofErr w:type="gramStart"/>
            <w:r w:rsidRPr="00F54B52">
              <w:rPr>
                <w:rFonts w:ascii="Arial" w:hAnsi="Arial" w:cs="Arial"/>
              </w:rPr>
              <w:t>g</w:t>
            </w:r>
            <w:proofErr w:type="gramEnd"/>
            <w:r w:rsidRPr="00F54B52">
              <w:rPr>
                <w:rFonts w:ascii="Arial" w:hAnsi="Arial" w:cs="Arial"/>
              </w:rPr>
              <w:t>·mol</w:t>
            </w:r>
            <w:proofErr w:type="spellEnd"/>
            <w:r w:rsidRPr="00F54B52">
              <w:rPr>
                <w:rFonts w:ascii="Arial" w:hAnsi="Arial" w:cs="Arial"/>
                <w:vertAlign w:val="superscript"/>
              </w:rPr>
              <w:t>–1</w:t>
            </w:r>
            <w:r w:rsidRPr="00F54B52">
              <w:rPr>
                <w:rFonts w:ascii="Arial" w:hAnsi="Arial" w:cs="Arial"/>
              </w:rPr>
              <w:t>)</w:t>
            </w:r>
          </w:p>
        </w:tc>
        <w:tc>
          <w:tcPr>
            <w:tcW w:w="1701" w:type="dxa"/>
            <w:vAlign w:val="center"/>
          </w:tcPr>
          <w:p w14:paraId="2967FCCD" w14:textId="77777777" w:rsidR="00F54B52" w:rsidRPr="00F54B52" w:rsidRDefault="00F54B52" w:rsidP="00F54B52">
            <w:pPr>
              <w:jc w:val="center"/>
              <w:rPr>
                <w:rFonts w:ascii="Arial" w:hAnsi="Arial" w:cs="Arial"/>
              </w:rPr>
            </w:pPr>
            <w:r w:rsidRPr="00F54B52">
              <w:rPr>
                <w:rFonts w:ascii="Arial" w:hAnsi="Arial" w:cs="Arial"/>
              </w:rPr>
              <w:t>Solubilité dans</w:t>
            </w:r>
          </w:p>
          <w:p w14:paraId="593B080E" w14:textId="155A1759" w:rsidR="00DA399A" w:rsidRPr="00F54B52" w:rsidRDefault="00F54B52" w:rsidP="00F54B52">
            <w:pPr>
              <w:jc w:val="center"/>
              <w:rPr>
                <w:rFonts w:ascii="Arial" w:hAnsi="Arial" w:cs="Arial"/>
              </w:rPr>
            </w:pPr>
            <w:proofErr w:type="gramStart"/>
            <w:r w:rsidRPr="00F54B52">
              <w:rPr>
                <w:rFonts w:ascii="Arial" w:hAnsi="Arial" w:cs="Arial"/>
              </w:rPr>
              <w:t>l’eau</w:t>
            </w:r>
            <w:proofErr w:type="gramEnd"/>
          </w:p>
        </w:tc>
        <w:tc>
          <w:tcPr>
            <w:tcW w:w="1276" w:type="dxa"/>
            <w:vAlign w:val="center"/>
          </w:tcPr>
          <w:p w14:paraId="2875ABC2" w14:textId="77777777" w:rsidR="00F54B52" w:rsidRPr="00F54B52" w:rsidRDefault="00F54B52" w:rsidP="00F54B52">
            <w:pPr>
              <w:jc w:val="center"/>
              <w:rPr>
                <w:rFonts w:ascii="Arial" w:hAnsi="Arial" w:cs="Arial"/>
              </w:rPr>
            </w:pPr>
            <w:r w:rsidRPr="00F54B52">
              <w:rPr>
                <w:rFonts w:ascii="Arial" w:hAnsi="Arial" w:cs="Arial"/>
              </w:rPr>
              <w:t>Solubilité</w:t>
            </w:r>
          </w:p>
          <w:p w14:paraId="77ADC039" w14:textId="77777777" w:rsidR="00DA399A" w:rsidRPr="00F54B52" w:rsidRDefault="00F54B52" w:rsidP="00F54B52">
            <w:pPr>
              <w:jc w:val="center"/>
              <w:rPr>
                <w:rFonts w:ascii="Arial" w:hAnsi="Arial" w:cs="Arial"/>
              </w:rPr>
            </w:pPr>
            <w:proofErr w:type="gramStart"/>
            <w:r w:rsidRPr="00F54B52">
              <w:rPr>
                <w:rFonts w:ascii="Arial" w:hAnsi="Arial" w:cs="Arial"/>
              </w:rPr>
              <w:t>dans</w:t>
            </w:r>
            <w:proofErr w:type="gramEnd"/>
            <w:r w:rsidRPr="00F54B52">
              <w:rPr>
                <w:rFonts w:ascii="Arial" w:hAnsi="Arial" w:cs="Arial"/>
              </w:rPr>
              <w:t xml:space="preserve"> l’eau</w:t>
            </w:r>
          </w:p>
          <w:p w14:paraId="0439F023" w14:textId="77777777" w:rsidR="00F54B52" w:rsidRPr="00F54B52" w:rsidRDefault="00F54B52" w:rsidP="00F54B52">
            <w:pPr>
              <w:jc w:val="center"/>
              <w:rPr>
                <w:rFonts w:ascii="Arial" w:hAnsi="Arial" w:cs="Arial"/>
              </w:rPr>
            </w:pPr>
            <w:proofErr w:type="gramStart"/>
            <w:r w:rsidRPr="00F54B52">
              <w:rPr>
                <w:rFonts w:ascii="Arial" w:hAnsi="Arial" w:cs="Arial"/>
              </w:rPr>
              <w:t>salée</w:t>
            </w:r>
            <w:proofErr w:type="gramEnd"/>
          </w:p>
          <w:p w14:paraId="48B0DFF2" w14:textId="454B0C97" w:rsidR="00F54B52" w:rsidRPr="00F54B52" w:rsidRDefault="00F54B52" w:rsidP="00F54B52">
            <w:pPr>
              <w:jc w:val="center"/>
              <w:rPr>
                <w:rFonts w:ascii="Arial" w:hAnsi="Arial" w:cs="Arial"/>
              </w:rPr>
            </w:pPr>
          </w:p>
        </w:tc>
        <w:tc>
          <w:tcPr>
            <w:tcW w:w="1549" w:type="dxa"/>
            <w:vAlign w:val="center"/>
          </w:tcPr>
          <w:p w14:paraId="05E63AF7" w14:textId="77777777" w:rsidR="00F54B52" w:rsidRPr="00F54B52" w:rsidRDefault="00F54B52" w:rsidP="00F54B52">
            <w:pPr>
              <w:jc w:val="center"/>
              <w:rPr>
                <w:rFonts w:ascii="Arial" w:hAnsi="Arial" w:cs="Arial"/>
              </w:rPr>
            </w:pPr>
            <w:r w:rsidRPr="00F54B52">
              <w:rPr>
                <w:rFonts w:ascii="Arial" w:hAnsi="Arial" w:cs="Arial"/>
              </w:rPr>
              <w:t>Pictogramme</w:t>
            </w:r>
          </w:p>
          <w:p w14:paraId="448C2D7E" w14:textId="6C70B739" w:rsidR="00DA399A" w:rsidRPr="00F54B52" w:rsidRDefault="00F54B52" w:rsidP="00F54B52">
            <w:pPr>
              <w:jc w:val="center"/>
              <w:rPr>
                <w:rFonts w:ascii="Arial" w:hAnsi="Arial" w:cs="Arial"/>
              </w:rPr>
            </w:pPr>
            <w:proofErr w:type="gramStart"/>
            <w:r w:rsidRPr="00F54B52">
              <w:rPr>
                <w:rFonts w:ascii="Arial" w:hAnsi="Arial" w:cs="Arial"/>
              </w:rPr>
              <w:t>de</w:t>
            </w:r>
            <w:proofErr w:type="gramEnd"/>
            <w:r w:rsidRPr="00F54B52">
              <w:rPr>
                <w:rFonts w:ascii="Arial" w:hAnsi="Arial" w:cs="Arial"/>
              </w:rPr>
              <w:t xml:space="preserve"> sécurité</w:t>
            </w:r>
          </w:p>
        </w:tc>
      </w:tr>
      <w:tr w:rsidR="00F54B52" w:rsidRPr="00F54B52" w14:paraId="3597CF6F" w14:textId="77777777" w:rsidTr="00F54B52">
        <w:tc>
          <w:tcPr>
            <w:tcW w:w="1552" w:type="dxa"/>
            <w:vAlign w:val="center"/>
          </w:tcPr>
          <w:p w14:paraId="0BCA12D3" w14:textId="660DFCCD" w:rsidR="00F54B52" w:rsidRPr="00F54B52" w:rsidRDefault="00F54B52" w:rsidP="00F54B52">
            <w:pPr>
              <w:jc w:val="center"/>
              <w:rPr>
                <w:rFonts w:ascii="Arial" w:hAnsi="Arial" w:cs="Arial"/>
              </w:rPr>
            </w:pPr>
            <w:r w:rsidRPr="00F54B52">
              <w:rPr>
                <w:rFonts w:ascii="Arial" w:hAnsi="Arial" w:cs="Arial"/>
              </w:rPr>
              <w:t>Oléine</w:t>
            </w:r>
          </w:p>
        </w:tc>
        <w:tc>
          <w:tcPr>
            <w:tcW w:w="2976" w:type="dxa"/>
            <w:vAlign w:val="center"/>
          </w:tcPr>
          <w:p w14:paraId="6240E9D7" w14:textId="213D674A" w:rsidR="00F54B52" w:rsidRPr="00F54B52" w:rsidRDefault="00B94D8A" w:rsidP="00B94D8A">
            <w:pPr>
              <w:jc w:val="center"/>
              <w:rPr>
                <w:rFonts w:ascii="Arial" w:hAnsi="Arial" w:cs="Arial"/>
              </w:rPr>
            </w:pPr>
            <w:r w:rsidRPr="00F54B52">
              <w:object w:dxaOrig="5000" w:dyaOrig="4080" w14:anchorId="7C306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8pt;height:112.2pt" o:ole="">
                  <v:imagedata r:id="rId6" o:title=""/>
                </v:shape>
                <o:OLEObject Type="Embed" ProgID="PBrush" ShapeID="_x0000_i1025" DrawAspect="Content" ObjectID="_1775116950" r:id="rId7"/>
              </w:object>
            </w:r>
          </w:p>
        </w:tc>
        <w:tc>
          <w:tcPr>
            <w:tcW w:w="1134" w:type="dxa"/>
            <w:vAlign w:val="center"/>
          </w:tcPr>
          <w:p w14:paraId="6F57B7FE" w14:textId="67CF1BB2" w:rsidR="00F54B52" w:rsidRPr="00F54B52" w:rsidRDefault="00B94D8A" w:rsidP="00F54B52">
            <w:pPr>
              <w:jc w:val="center"/>
              <w:rPr>
                <w:rFonts w:ascii="Arial" w:hAnsi="Arial" w:cs="Arial"/>
              </w:rPr>
            </w:pPr>
            <w:r>
              <w:rPr>
                <w:rFonts w:ascii="Arial" w:hAnsi="Arial" w:cs="Arial"/>
              </w:rPr>
              <w:t>884</w:t>
            </w:r>
          </w:p>
        </w:tc>
        <w:tc>
          <w:tcPr>
            <w:tcW w:w="1701" w:type="dxa"/>
            <w:vAlign w:val="center"/>
          </w:tcPr>
          <w:p w14:paraId="133A71C7" w14:textId="0E7E3EA0" w:rsidR="00F54B52" w:rsidRPr="00F54B52" w:rsidRDefault="00F54B52" w:rsidP="00F54B52">
            <w:pPr>
              <w:jc w:val="center"/>
              <w:rPr>
                <w:rFonts w:ascii="Arial" w:hAnsi="Arial" w:cs="Arial"/>
              </w:rPr>
            </w:pPr>
            <w:proofErr w:type="gramStart"/>
            <w:r w:rsidRPr="00F54B52">
              <w:rPr>
                <w:rFonts w:ascii="Arial" w:hAnsi="Arial" w:cs="Arial"/>
              </w:rPr>
              <w:t>insoluble</w:t>
            </w:r>
            <w:proofErr w:type="gramEnd"/>
          </w:p>
        </w:tc>
        <w:tc>
          <w:tcPr>
            <w:tcW w:w="1276" w:type="dxa"/>
            <w:vAlign w:val="center"/>
          </w:tcPr>
          <w:p w14:paraId="442BA55A" w14:textId="102D28A6" w:rsidR="00F54B52" w:rsidRPr="00F54B52" w:rsidRDefault="00F54B52" w:rsidP="00F54B52">
            <w:pPr>
              <w:jc w:val="center"/>
              <w:rPr>
                <w:rFonts w:ascii="Arial" w:hAnsi="Arial" w:cs="Arial"/>
              </w:rPr>
            </w:pPr>
            <w:proofErr w:type="gramStart"/>
            <w:r w:rsidRPr="00F54B52">
              <w:rPr>
                <w:rFonts w:ascii="Arial" w:hAnsi="Arial" w:cs="Arial"/>
              </w:rPr>
              <w:t>insoluble</w:t>
            </w:r>
            <w:proofErr w:type="gramEnd"/>
          </w:p>
        </w:tc>
        <w:tc>
          <w:tcPr>
            <w:tcW w:w="1549" w:type="dxa"/>
            <w:vAlign w:val="center"/>
          </w:tcPr>
          <w:p w14:paraId="5973412A" w14:textId="7092FF33" w:rsidR="00F54B52" w:rsidRPr="00F54B52" w:rsidRDefault="00F54B52" w:rsidP="00F54B52">
            <w:pPr>
              <w:jc w:val="center"/>
              <w:rPr>
                <w:rFonts w:ascii="Arial" w:hAnsi="Arial" w:cs="Arial"/>
              </w:rPr>
            </w:pPr>
            <w:r w:rsidRPr="00F54B52">
              <w:rPr>
                <w:rFonts w:ascii="Arial" w:hAnsi="Arial" w:cs="Arial"/>
              </w:rPr>
              <w:t>-</w:t>
            </w:r>
          </w:p>
        </w:tc>
      </w:tr>
      <w:tr w:rsidR="00F54B52" w:rsidRPr="00F54B52" w14:paraId="5947AD2C" w14:textId="77777777" w:rsidTr="00F54B52">
        <w:tc>
          <w:tcPr>
            <w:tcW w:w="1552" w:type="dxa"/>
            <w:vAlign w:val="center"/>
          </w:tcPr>
          <w:p w14:paraId="309D96D7" w14:textId="77777777" w:rsidR="00F54B52" w:rsidRPr="00F54B52" w:rsidRDefault="00F54B52" w:rsidP="00F54B52">
            <w:pPr>
              <w:jc w:val="center"/>
              <w:rPr>
                <w:rFonts w:ascii="Arial" w:hAnsi="Arial" w:cs="Arial"/>
              </w:rPr>
            </w:pPr>
            <w:r w:rsidRPr="00F54B52">
              <w:rPr>
                <w:rFonts w:ascii="Arial" w:hAnsi="Arial" w:cs="Arial"/>
              </w:rPr>
              <w:t>Hydroxyde</w:t>
            </w:r>
          </w:p>
          <w:p w14:paraId="1BFDB3BD" w14:textId="52EAD385" w:rsidR="00F54B52" w:rsidRPr="00F54B52" w:rsidRDefault="00F54B52" w:rsidP="00F54B52">
            <w:pPr>
              <w:jc w:val="center"/>
              <w:rPr>
                <w:rFonts w:ascii="Arial" w:hAnsi="Arial" w:cs="Arial"/>
              </w:rPr>
            </w:pPr>
            <w:proofErr w:type="gramStart"/>
            <w:r w:rsidRPr="00F54B52">
              <w:rPr>
                <w:rFonts w:ascii="Arial" w:hAnsi="Arial" w:cs="Arial"/>
              </w:rPr>
              <w:t>de</w:t>
            </w:r>
            <w:proofErr w:type="gramEnd"/>
            <w:r w:rsidRPr="00F54B52">
              <w:rPr>
                <w:rFonts w:ascii="Arial" w:hAnsi="Arial" w:cs="Arial"/>
              </w:rPr>
              <w:t xml:space="preserve"> sodium</w:t>
            </w:r>
          </w:p>
        </w:tc>
        <w:tc>
          <w:tcPr>
            <w:tcW w:w="2976" w:type="dxa"/>
            <w:vAlign w:val="center"/>
          </w:tcPr>
          <w:p w14:paraId="6EE5080A" w14:textId="12999231" w:rsidR="00F54B52" w:rsidRPr="00F54B52" w:rsidRDefault="00F54B52" w:rsidP="00F54B52">
            <w:pPr>
              <w:jc w:val="center"/>
              <w:rPr>
                <w:rFonts w:ascii="Arial" w:hAnsi="Arial" w:cs="Arial"/>
              </w:rPr>
            </w:pPr>
            <w:r w:rsidRPr="00F54B52">
              <w:rPr>
                <w:rFonts w:ascii="Arial" w:hAnsi="Arial" w:cs="Arial"/>
              </w:rPr>
              <w:t>(Na</w:t>
            </w:r>
            <w:r w:rsidRPr="00F54B52">
              <w:rPr>
                <w:rFonts w:ascii="Arial" w:hAnsi="Arial" w:cs="Arial"/>
                <w:vertAlign w:val="superscript"/>
              </w:rPr>
              <w:t>+</w:t>
            </w:r>
            <w:r w:rsidRPr="00F54B52">
              <w:rPr>
                <w:rFonts w:ascii="Arial" w:hAnsi="Arial" w:cs="Arial"/>
              </w:rPr>
              <w:t xml:space="preserve"> ; </w:t>
            </w:r>
            <w:r w:rsidR="00B94D8A" w:rsidRPr="00F54B52">
              <w:rPr>
                <w:rFonts w:ascii="Arial" w:hAnsi="Arial" w:cs="Arial"/>
              </w:rPr>
              <w:t>H</w:t>
            </w:r>
            <w:r w:rsidRPr="00F54B52">
              <w:rPr>
                <w:rFonts w:ascii="Arial" w:hAnsi="Arial" w:cs="Arial"/>
              </w:rPr>
              <w:t>O</w:t>
            </w:r>
            <w:r w:rsidRPr="00F54B52">
              <w:rPr>
                <w:rFonts w:ascii="Arial" w:hAnsi="Arial" w:cs="Arial"/>
                <w:vertAlign w:val="superscript"/>
              </w:rPr>
              <w:t>–</w:t>
            </w:r>
            <w:r w:rsidRPr="00F54B52">
              <w:rPr>
                <w:rFonts w:ascii="Arial" w:hAnsi="Arial" w:cs="Arial"/>
              </w:rPr>
              <w:t>)</w:t>
            </w:r>
          </w:p>
        </w:tc>
        <w:tc>
          <w:tcPr>
            <w:tcW w:w="1134" w:type="dxa"/>
            <w:vAlign w:val="center"/>
          </w:tcPr>
          <w:p w14:paraId="6372522E" w14:textId="5B3F0577" w:rsidR="00F54B52" w:rsidRPr="00F54B52" w:rsidRDefault="00F54B52" w:rsidP="00F54B52">
            <w:pPr>
              <w:jc w:val="center"/>
              <w:rPr>
                <w:rFonts w:ascii="Arial" w:hAnsi="Arial" w:cs="Arial"/>
              </w:rPr>
            </w:pPr>
            <w:r w:rsidRPr="00F54B52">
              <w:rPr>
                <w:rFonts w:ascii="Arial" w:hAnsi="Arial" w:cs="Arial"/>
              </w:rPr>
              <w:t>40</w:t>
            </w:r>
          </w:p>
        </w:tc>
        <w:tc>
          <w:tcPr>
            <w:tcW w:w="1701" w:type="dxa"/>
            <w:vAlign w:val="center"/>
          </w:tcPr>
          <w:p w14:paraId="33C793F1" w14:textId="0177D5D6" w:rsidR="00F54B52" w:rsidRPr="00F54B52" w:rsidRDefault="00F54B52" w:rsidP="00F54B52">
            <w:pPr>
              <w:jc w:val="center"/>
              <w:rPr>
                <w:rFonts w:ascii="Arial" w:hAnsi="Arial" w:cs="Arial"/>
              </w:rPr>
            </w:pPr>
            <w:proofErr w:type="gramStart"/>
            <w:r w:rsidRPr="00F54B52">
              <w:rPr>
                <w:rFonts w:ascii="Arial" w:hAnsi="Arial" w:cs="Arial"/>
              </w:rPr>
              <w:t>très</w:t>
            </w:r>
            <w:proofErr w:type="gramEnd"/>
            <w:r w:rsidRPr="00F54B52">
              <w:rPr>
                <w:rFonts w:ascii="Arial" w:hAnsi="Arial" w:cs="Arial"/>
              </w:rPr>
              <w:t xml:space="preserve"> soluble</w:t>
            </w:r>
          </w:p>
        </w:tc>
        <w:tc>
          <w:tcPr>
            <w:tcW w:w="1276" w:type="dxa"/>
            <w:vAlign w:val="center"/>
          </w:tcPr>
          <w:p w14:paraId="480FD1F5" w14:textId="77777777" w:rsidR="00F54B52" w:rsidRPr="00F54B52" w:rsidRDefault="00F54B52" w:rsidP="00F54B52">
            <w:pPr>
              <w:jc w:val="center"/>
              <w:rPr>
                <w:rFonts w:ascii="Arial" w:hAnsi="Arial" w:cs="Arial"/>
              </w:rPr>
            </w:pPr>
            <w:proofErr w:type="gramStart"/>
            <w:r w:rsidRPr="00F54B52">
              <w:rPr>
                <w:rFonts w:ascii="Arial" w:hAnsi="Arial" w:cs="Arial"/>
              </w:rPr>
              <w:t>très</w:t>
            </w:r>
            <w:proofErr w:type="gramEnd"/>
          </w:p>
          <w:p w14:paraId="0A83473E" w14:textId="21F66D5C" w:rsidR="00F54B52" w:rsidRPr="00F54B52" w:rsidRDefault="00F54B52" w:rsidP="00F54B52">
            <w:pPr>
              <w:jc w:val="center"/>
              <w:rPr>
                <w:rFonts w:ascii="Arial" w:hAnsi="Arial" w:cs="Arial"/>
              </w:rPr>
            </w:pPr>
            <w:proofErr w:type="gramStart"/>
            <w:r w:rsidRPr="00F54B52">
              <w:rPr>
                <w:rFonts w:ascii="Arial" w:hAnsi="Arial" w:cs="Arial"/>
              </w:rPr>
              <w:t>soluble</w:t>
            </w:r>
            <w:proofErr w:type="gramEnd"/>
          </w:p>
        </w:tc>
        <w:tc>
          <w:tcPr>
            <w:tcW w:w="1549" w:type="dxa"/>
            <w:vAlign w:val="center"/>
          </w:tcPr>
          <w:p w14:paraId="6950BBF6" w14:textId="413AD0DD" w:rsidR="00F54B52" w:rsidRPr="00F54B52" w:rsidRDefault="00F54B52" w:rsidP="00F54B52">
            <w:pPr>
              <w:jc w:val="center"/>
              <w:rPr>
                <w:rFonts w:ascii="Arial" w:hAnsi="Arial" w:cs="Arial"/>
              </w:rPr>
            </w:pPr>
            <w:r w:rsidRPr="00F54B52">
              <w:object w:dxaOrig="2240" w:dyaOrig="2250" w14:anchorId="50DC9DD9">
                <v:shape id="_x0000_i1026" type="#_x0000_t75" style="width:37.8pt;height:37.8pt" o:ole="">
                  <v:imagedata r:id="rId8" o:title=""/>
                </v:shape>
                <o:OLEObject Type="Embed" ProgID="PBrush" ShapeID="_x0000_i1026" DrawAspect="Content" ObjectID="_1775116951" r:id="rId9"/>
              </w:object>
            </w:r>
          </w:p>
        </w:tc>
      </w:tr>
      <w:tr w:rsidR="00F54B52" w:rsidRPr="00F54B52" w14:paraId="28994CCE" w14:textId="77777777" w:rsidTr="00F54B52">
        <w:tc>
          <w:tcPr>
            <w:tcW w:w="1552" w:type="dxa"/>
            <w:vAlign w:val="center"/>
          </w:tcPr>
          <w:p w14:paraId="36858D1E" w14:textId="77777777" w:rsidR="00F54B52" w:rsidRPr="00F54B52" w:rsidRDefault="00F54B52" w:rsidP="00F54B52">
            <w:pPr>
              <w:jc w:val="center"/>
              <w:rPr>
                <w:rFonts w:ascii="Arial" w:hAnsi="Arial" w:cs="Arial"/>
              </w:rPr>
            </w:pPr>
            <w:r w:rsidRPr="00F54B52">
              <w:rPr>
                <w:rFonts w:ascii="Arial" w:hAnsi="Arial" w:cs="Arial"/>
              </w:rPr>
              <w:t>Glycérol</w:t>
            </w:r>
          </w:p>
          <w:p w14:paraId="2DCB64E6" w14:textId="6B743AF8" w:rsidR="00F54B52" w:rsidRPr="00F54B52" w:rsidRDefault="00F54B52" w:rsidP="00F54B52">
            <w:pPr>
              <w:jc w:val="center"/>
              <w:rPr>
                <w:rFonts w:ascii="Arial" w:hAnsi="Arial" w:cs="Arial"/>
              </w:rPr>
            </w:pPr>
            <w:r w:rsidRPr="00F54B52">
              <w:rPr>
                <w:rFonts w:ascii="Arial" w:hAnsi="Arial" w:cs="Arial"/>
              </w:rPr>
              <w:t>(</w:t>
            </w:r>
            <w:proofErr w:type="gramStart"/>
            <w:r w:rsidRPr="00F54B52">
              <w:rPr>
                <w:rFonts w:ascii="Arial" w:hAnsi="Arial" w:cs="Arial"/>
              </w:rPr>
              <w:t>molécule</w:t>
            </w:r>
            <w:proofErr w:type="gramEnd"/>
            <w:r w:rsidRPr="00F54B52">
              <w:rPr>
                <w:rFonts w:ascii="Arial" w:hAnsi="Arial" w:cs="Arial"/>
              </w:rPr>
              <w:t xml:space="preserve"> A)</w:t>
            </w:r>
          </w:p>
        </w:tc>
        <w:tc>
          <w:tcPr>
            <w:tcW w:w="2976" w:type="dxa"/>
            <w:vAlign w:val="center"/>
          </w:tcPr>
          <w:p w14:paraId="6EEAA551" w14:textId="05094DAE" w:rsidR="00F54B52" w:rsidRPr="00F54B52" w:rsidRDefault="00F54B52" w:rsidP="00F54B52">
            <w:pPr>
              <w:jc w:val="center"/>
              <w:rPr>
                <w:rFonts w:ascii="Arial" w:hAnsi="Arial" w:cs="Arial"/>
              </w:rPr>
            </w:pPr>
            <w:proofErr w:type="gramStart"/>
            <w:r w:rsidRPr="00F54B52">
              <w:rPr>
                <w:rFonts w:ascii="Arial" w:hAnsi="Arial" w:cs="Arial"/>
              </w:rPr>
              <w:t>voir</w:t>
            </w:r>
            <w:proofErr w:type="gramEnd"/>
            <w:r w:rsidRPr="00F54B52">
              <w:rPr>
                <w:rFonts w:ascii="Arial" w:hAnsi="Arial" w:cs="Arial"/>
              </w:rPr>
              <w:t xml:space="preserve"> question </w:t>
            </w:r>
            <w:r w:rsidRPr="00F54B52">
              <w:rPr>
                <w:rFonts w:ascii="Arial" w:hAnsi="Arial" w:cs="Arial"/>
                <w:b/>
                <w:bCs/>
              </w:rPr>
              <w:t>Q2</w:t>
            </w:r>
          </w:p>
        </w:tc>
        <w:tc>
          <w:tcPr>
            <w:tcW w:w="1134" w:type="dxa"/>
            <w:vAlign w:val="center"/>
          </w:tcPr>
          <w:p w14:paraId="3AD5057E" w14:textId="7DDBDF36" w:rsidR="00F54B52" w:rsidRPr="00F54B52" w:rsidRDefault="00F54B52" w:rsidP="00F54B52">
            <w:pPr>
              <w:jc w:val="center"/>
              <w:rPr>
                <w:rFonts w:ascii="Arial" w:hAnsi="Arial" w:cs="Arial"/>
              </w:rPr>
            </w:pPr>
            <w:r w:rsidRPr="00F54B52">
              <w:rPr>
                <w:rFonts w:ascii="Arial" w:hAnsi="Arial" w:cs="Arial"/>
              </w:rPr>
              <w:t>92</w:t>
            </w:r>
          </w:p>
        </w:tc>
        <w:tc>
          <w:tcPr>
            <w:tcW w:w="1701" w:type="dxa"/>
            <w:vAlign w:val="center"/>
          </w:tcPr>
          <w:p w14:paraId="1940905D" w14:textId="38B534D3" w:rsidR="00F54B52" w:rsidRPr="00F54B52" w:rsidRDefault="00F54B52" w:rsidP="00F54B52">
            <w:pPr>
              <w:jc w:val="center"/>
              <w:rPr>
                <w:rFonts w:ascii="Arial" w:hAnsi="Arial" w:cs="Arial"/>
              </w:rPr>
            </w:pPr>
            <w:proofErr w:type="gramStart"/>
            <w:r w:rsidRPr="00F54B52">
              <w:rPr>
                <w:rFonts w:ascii="Arial" w:hAnsi="Arial" w:cs="Arial"/>
              </w:rPr>
              <w:t>très</w:t>
            </w:r>
            <w:proofErr w:type="gramEnd"/>
            <w:r w:rsidRPr="00F54B52">
              <w:rPr>
                <w:rFonts w:ascii="Arial" w:hAnsi="Arial" w:cs="Arial"/>
              </w:rPr>
              <w:t xml:space="preserve"> soluble</w:t>
            </w:r>
          </w:p>
        </w:tc>
        <w:tc>
          <w:tcPr>
            <w:tcW w:w="1276" w:type="dxa"/>
            <w:vAlign w:val="center"/>
          </w:tcPr>
          <w:p w14:paraId="1AB85AFF" w14:textId="77777777" w:rsidR="00F54B52" w:rsidRPr="00F54B52" w:rsidRDefault="00F54B52" w:rsidP="00F54B52">
            <w:pPr>
              <w:jc w:val="center"/>
              <w:rPr>
                <w:rFonts w:ascii="Arial" w:hAnsi="Arial" w:cs="Arial"/>
              </w:rPr>
            </w:pPr>
            <w:proofErr w:type="gramStart"/>
            <w:r w:rsidRPr="00F54B52">
              <w:rPr>
                <w:rFonts w:ascii="Arial" w:hAnsi="Arial" w:cs="Arial"/>
              </w:rPr>
              <w:t>très</w:t>
            </w:r>
            <w:proofErr w:type="gramEnd"/>
          </w:p>
          <w:p w14:paraId="5CEEEE3D" w14:textId="2D87A209" w:rsidR="00F54B52" w:rsidRPr="00F54B52" w:rsidRDefault="00F54B52" w:rsidP="00F54B52">
            <w:pPr>
              <w:jc w:val="center"/>
              <w:rPr>
                <w:rFonts w:ascii="Arial" w:hAnsi="Arial" w:cs="Arial"/>
              </w:rPr>
            </w:pPr>
            <w:proofErr w:type="gramStart"/>
            <w:r w:rsidRPr="00F54B52">
              <w:rPr>
                <w:rFonts w:ascii="Arial" w:hAnsi="Arial" w:cs="Arial"/>
              </w:rPr>
              <w:t>soluble</w:t>
            </w:r>
            <w:proofErr w:type="gramEnd"/>
          </w:p>
        </w:tc>
        <w:tc>
          <w:tcPr>
            <w:tcW w:w="1549" w:type="dxa"/>
            <w:vAlign w:val="center"/>
          </w:tcPr>
          <w:p w14:paraId="55368BAD" w14:textId="692CA3C1" w:rsidR="00F54B52" w:rsidRPr="00F54B52" w:rsidRDefault="00F54B52" w:rsidP="00F54B52">
            <w:pPr>
              <w:jc w:val="center"/>
              <w:rPr>
                <w:rFonts w:ascii="Arial" w:hAnsi="Arial" w:cs="Arial"/>
              </w:rPr>
            </w:pPr>
            <w:r w:rsidRPr="00F54B52">
              <w:rPr>
                <w:rFonts w:ascii="Arial" w:hAnsi="Arial" w:cs="Arial"/>
              </w:rPr>
              <w:t>-</w:t>
            </w:r>
          </w:p>
        </w:tc>
      </w:tr>
      <w:tr w:rsidR="00F54B52" w:rsidRPr="00F54B52" w14:paraId="5DD8407B" w14:textId="77777777" w:rsidTr="00F54B52">
        <w:tc>
          <w:tcPr>
            <w:tcW w:w="1552" w:type="dxa"/>
            <w:vAlign w:val="center"/>
          </w:tcPr>
          <w:p w14:paraId="3067FC5C" w14:textId="77777777" w:rsidR="00F54B52" w:rsidRPr="00F54B52" w:rsidRDefault="00F54B52" w:rsidP="00F54B52">
            <w:pPr>
              <w:jc w:val="center"/>
              <w:rPr>
                <w:rFonts w:ascii="Arial" w:hAnsi="Arial" w:cs="Arial"/>
              </w:rPr>
            </w:pPr>
            <w:r w:rsidRPr="00F54B52">
              <w:rPr>
                <w:rFonts w:ascii="Arial" w:hAnsi="Arial" w:cs="Arial"/>
              </w:rPr>
              <w:t>Oléate de</w:t>
            </w:r>
          </w:p>
          <w:p w14:paraId="1C245653" w14:textId="204915CA" w:rsidR="00F54B52" w:rsidRPr="00F54B52" w:rsidRDefault="00F54B52" w:rsidP="00F54B52">
            <w:pPr>
              <w:jc w:val="center"/>
              <w:rPr>
                <w:rFonts w:ascii="Arial" w:hAnsi="Arial" w:cs="Arial"/>
              </w:rPr>
            </w:pPr>
            <w:proofErr w:type="gramStart"/>
            <w:r w:rsidRPr="00F54B52">
              <w:rPr>
                <w:rFonts w:ascii="Arial" w:hAnsi="Arial" w:cs="Arial"/>
              </w:rPr>
              <w:t>sodium</w:t>
            </w:r>
            <w:proofErr w:type="gramEnd"/>
          </w:p>
        </w:tc>
        <w:tc>
          <w:tcPr>
            <w:tcW w:w="2976" w:type="dxa"/>
            <w:vAlign w:val="center"/>
          </w:tcPr>
          <w:p w14:paraId="39107FAD" w14:textId="357FA7CE" w:rsidR="00F54B52" w:rsidRPr="00F54B52" w:rsidRDefault="00F54B52" w:rsidP="00F54B52">
            <w:pPr>
              <w:jc w:val="center"/>
              <w:rPr>
                <w:rFonts w:ascii="Arial" w:hAnsi="Arial" w:cs="Arial"/>
              </w:rPr>
            </w:pPr>
            <w:r w:rsidRPr="00F54B52">
              <w:object w:dxaOrig="3250" w:dyaOrig="1830" w14:anchorId="6EC13600">
                <v:shape id="_x0000_i1027" type="#_x0000_t75" style="width:90.6pt;height:51pt" o:ole="">
                  <v:imagedata r:id="rId10" o:title=""/>
                </v:shape>
                <o:OLEObject Type="Embed" ProgID="PBrush" ShapeID="_x0000_i1027" DrawAspect="Content" ObjectID="_1775116952" r:id="rId11"/>
              </w:object>
            </w:r>
          </w:p>
        </w:tc>
        <w:tc>
          <w:tcPr>
            <w:tcW w:w="1134" w:type="dxa"/>
            <w:vAlign w:val="center"/>
          </w:tcPr>
          <w:p w14:paraId="48FEDB4D" w14:textId="5B65FAF8" w:rsidR="00F54B52" w:rsidRPr="00F54B52" w:rsidRDefault="00F54B52" w:rsidP="00F54B52">
            <w:pPr>
              <w:jc w:val="center"/>
              <w:rPr>
                <w:rFonts w:ascii="Arial" w:hAnsi="Arial" w:cs="Arial"/>
              </w:rPr>
            </w:pPr>
            <w:r>
              <w:rPr>
                <w:rFonts w:ascii="Arial" w:hAnsi="Arial" w:cs="Arial"/>
              </w:rPr>
              <w:t>304</w:t>
            </w:r>
          </w:p>
        </w:tc>
        <w:tc>
          <w:tcPr>
            <w:tcW w:w="1701" w:type="dxa"/>
            <w:vAlign w:val="center"/>
          </w:tcPr>
          <w:p w14:paraId="742FEF70" w14:textId="7A8B0DD7" w:rsidR="00F54B52" w:rsidRPr="00F54B52" w:rsidRDefault="00F54B52" w:rsidP="00F54B52">
            <w:pPr>
              <w:jc w:val="center"/>
              <w:rPr>
                <w:rFonts w:ascii="Arial" w:hAnsi="Arial" w:cs="Arial"/>
              </w:rPr>
            </w:pPr>
            <w:proofErr w:type="gramStart"/>
            <w:r>
              <w:rPr>
                <w:rFonts w:ascii="Arial" w:hAnsi="Arial" w:cs="Arial"/>
              </w:rPr>
              <w:t>m</w:t>
            </w:r>
            <w:r w:rsidRPr="00F54B52">
              <w:rPr>
                <w:rFonts w:ascii="Arial" w:hAnsi="Arial" w:cs="Arial"/>
              </w:rPr>
              <w:t>oyennement</w:t>
            </w:r>
            <w:proofErr w:type="gramEnd"/>
            <w:r w:rsidRPr="00F54B52">
              <w:rPr>
                <w:rFonts w:ascii="Arial" w:hAnsi="Arial" w:cs="Arial"/>
              </w:rPr>
              <w:t xml:space="preserve"> soluble</w:t>
            </w:r>
          </w:p>
        </w:tc>
        <w:tc>
          <w:tcPr>
            <w:tcW w:w="1276" w:type="dxa"/>
            <w:vAlign w:val="center"/>
          </w:tcPr>
          <w:p w14:paraId="6E018D0D" w14:textId="2CB74776" w:rsidR="00F54B52" w:rsidRPr="00F54B52" w:rsidRDefault="00F54B52" w:rsidP="00F54B52">
            <w:pPr>
              <w:jc w:val="center"/>
              <w:rPr>
                <w:rFonts w:ascii="Arial" w:hAnsi="Arial" w:cs="Arial"/>
              </w:rPr>
            </w:pPr>
            <w:proofErr w:type="gramStart"/>
            <w:r w:rsidRPr="00F54B52">
              <w:rPr>
                <w:rFonts w:ascii="Arial" w:hAnsi="Arial" w:cs="Arial"/>
              </w:rPr>
              <w:t>insoluble</w:t>
            </w:r>
            <w:proofErr w:type="gramEnd"/>
          </w:p>
        </w:tc>
        <w:tc>
          <w:tcPr>
            <w:tcW w:w="1549" w:type="dxa"/>
            <w:vAlign w:val="center"/>
          </w:tcPr>
          <w:p w14:paraId="4C8D252E" w14:textId="7F011FC4" w:rsidR="00F54B52" w:rsidRPr="00F54B52" w:rsidRDefault="00F54B52" w:rsidP="00F54B52">
            <w:pPr>
              <w:jc w:val="center"/>
              <w:rPr>
                <w:rFonts w:ascii="Arial" w:hAnsi="Arial" w:cs="Arial"/>
              </w:rPr>
            </w:pPr>
            <w:r w:rsidRPr="00F54B52">
              <w:rPr>
                <w:rFonts w:ascii="Arial" w:hAnsi="Arial" w:cs="Arial"/>
              </w:rPr>
              <w:t>-</w:t>
            </w:r>
          </w:p>
        </w:tc>
      </w:tr>
    </w:tbl>
    <w:p w14:paraId="1AE86359" w14:textId="77777777" w:rsidR="006D218C" w:rsidRPr="00F54B52" w:rsidRDefault="006D218C" w:rsidP="00B9156F">
      <w:pPr>
        <w:spacing w:after="0" w:line="240" w:lineRule="auto"/>
        <w:jc w:val="both"/>
        <w:rPr>
          <w:rFonts w:ascii="Arial" w:hAnsi="Arial" w:cs="Arial"/>
        </w:rPr>
      </w:pPr>
    </w:p>
    <w:p w14:paraId="022ED246" w14:textId="136EFDD9" w:rsidR="00DA399A" w:rsidRPr="00F54B52" w:rsidRDefault="00DA399A" w:rsidP="00DA399A">
      <w:pPr>
        <w:pStyle w:val="Paragraphedeliste"/>
        <w:numPr>
          <w:ilvl w:val="0"/>
          <w:numId w:val="25"/>
        </w:numPr>
        <w:tabs>
          <w:tab w:val="left" w:pos="567"/>
        </w:tabs>
        <w:spacing w:after="0" w:line="240" w:lineRule="auto"/>
        <w:ind w:left="567" w:hanging="283"/>
        <w:jc w:val="both"/>
        <w:rPr>
          <w:rFonts w:ascii="Arial" w:hAnsi="Arial" w:cs="Arial"/>
        </w:rPr>
      </w:pPr>
      <w:proofErr w:type="gramStart"/>
      <w:r w:rsidRPr="00F54B52">
        <w:rPr>
          <w:rFonts w:ascii="Arial" w:hAnsi="Arial" w:cs="Arial"/>
        </w:rPr>
        <w:t>la</w:t>
      </w:r>
      <w:proofErr w:type="gramEnd"/>
      <w:r w:rsidRPr="00F54B52">
        <w:rPr>
          <w:rFonts w:ascii="Arial" w:hAnsi="Arial" w:cs="Arial"/>
        </w:rPr>
        <w:t xml:space="preserve"> saponification de l’oléine est considérée comme totale. L’équation de la réaction modélisant cette transformation est donnée ci-dessous</w:t>
      </w:r>
      <w:r w:rsidR="00E01A61">
        <w:rPr>
          <w:rFonts w:ascii="Arial" w:hAnsi="Arial" w:cs="Arial"/>
        </w:rPr>
        <w:t> :</w:t>
      </w:r>
    </w:p>
    <w:p w14:paraId="61BCFD43" w14:textId="76BACF42" w:rsidR="006D218C" w:rsidRPr="00F54B52" w:rsidRDefault="00F54B52" w:rsidP="00B9156F">
      <w:pPr>
        <w:spacing w:after="0" w:line="240" w:lineRule="auto"/>
        <w:jc w:val="both"/>
        <w:rPr>
          <w:rFonts w:ascii="Arial" w:hAnsi="Arial" w:cs="Arial"/>
        </w:rPr>
      </w:pPr>
      <w:r w:rsidRPr="00F54B52">
        <w:rPr>
          <w:rFonts w:ascii="Arial" w:hAnsi="Arial" w:cs="Arial"/>
          <w:noProof/>
        </w:rPr>
        <w:drawing>
          <wp:inline distT="0" distB="0" distL="0" distR="0" wp14:anchorId="1E8BF580" wp14:editId="69369690">
            <wp:extent cx="6470650" cy="2127250"/>
            <wp:effectExtent l="0" t="0" r="635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0650" cy="2127250"/>
                    </a:xfrm>
                    <a:prstGeom prst="rect">
                      <a:avLst/>
                    </a:prstGeom>
                    <a:noFill/>
                    <a:ln>
                      <a:noFill/>
                    </a:ln>
                  </pic:spPr>
                </pic:pic>
              </a:graphicData>
            </a:graphic>
          </wp:inline>
        </w:drawing>
      </w:r>
    </w:p>
    <w:p w14:paraId="10D82C22" w14:textId="7A854F09" w:rsidR="001E7045" w:rsidRPr="00F54B52" w:rsidRDefault="001E7045" w:rsidP="000D6EDC">
      <w:pPr>
        <w:spacing w:after="0" w:line="240" w:lineRule="auto"/>
        <w:jc w:val="both"/>
        <w:rPr>
          <w:rFonts w:ascii="Arial" w:hAnsi="Arial" w:cs="Arial"/>
        </w:rPr>
      </w:pPr>
      <w:r w:rsidRPr="00F54B52">
        <w:rPr>
          <w:rFonts w:ascii="Arial" w:hAnsi="Arial" w:cs="Arial"/>
        </w:rPr>
        <w:br w:type="page"/>
      </w:r>
    </w:p>
    <w:p w14:paraId="281A19D4" w14:textId="58EF9414" w:rsidR="00B9156F" w:rsidRPr="00F54B52" w:rsidRDefault="00DA399A" w:rsidP="00DA399A">
      <w:pPr>
        <w:tabs>
          <w:tab w:val="left" w:pos="284"/>
        </w:tabs>
        <w:spacing w:after="0" w:line="240" w:lineRule="auto"/>
        <w:ind w:left="284" w:hanging="284"/>
        <w:jc w:val="both"/>
        <w:rPr>
          <w:rFonts w:ascii="Arial" w:hAnsi="Arial" w:cs="Arial"/>
          <w:b/>
          <w:bCs/>
        </w:rPr>
      </w:pPr>
      <w:r w:rsidRPr="00F54B52">
        <w:rPr>
          <w:rFonts w:ascii="Arial" w:hAnsi="Arial" w:cs="Arial"/>
          <w:b/>
          <w:bCs/>
        </w:rPr>
        <w:lastRenderedPageBreak/>
        <w:t>1.</w:t>
      </w:r>
      <w:r w:rsidRPr="00F54B52">
        <w:rPr>
          <w:rFonts w:ascii="Arial" w:hAnsi="Arial" w:cs="Arial"/>
          <w:b/>
          <w:bCs/>
        </w:rPr>
        <w:tab/>
        <w:t>Un savon surgras fait maison</w:t>
      </w:r>
    </w:p>
    <w:p w14:paraId="4B98DF38" w14:textId="77777777" w:rsidR="00B9156F" w:rsidRPr="00F54B52" w:rsidRDefault="00B9156F" w:rsidP="00B9156F">
      <w:pPr>
        <w:spacing w:after="0" w:line="240" w:lineRule="auto"/>
        <w:jc w:val="both"/>
        <w:rPr>
          <w:rFonts w:ascii="Arial" w:hAnsi="Arial" w:cs="Arial"/>
        </w:rPr>
      </w:pPr>
    </w:p>
    <w:p w14:paraId="72688434" w14:textId="4646F7D2" w:rsidR="00DA399A" w:rsidRPr="00F54B52" w:rsidRDefault="00DA399A" w:rsidP="00DA399A">
      <w:pPr>
        <w:tabs>
          <w:tab w:val="left" w:pos="567"/>
        </w:tabs>
        <w:spacing w:after="0" w:line="240" w:lineRule="auto"/>
        <w:ind w:left="567" w:hanging="567"/>
        <w:jc w:val="both"/>
        <w:rPr>
          <w:rFonts w:ascii="Arial" w:hAnsi="Arial" w:cs="Arial"/>
        </w:rPr>
      </w:pPr>
      <w:r w:rsidRPr="00F54B52">
        <w:rPr>
          <w:rFonts w:ascii="Arial" w:hAnsi="Arial" w:cs="Arial"/>
          <w:b/>
          <w:bCs/>
        </w:rPr>
        <w:t>Q1.</w:t>
      </w:r>
      <w:r w:rsidRPr="00F54B52">
        <w:rPr>
          <w:rFonts w:ascii="Arial" w:hAnsi="Arial" w:cs="Arial"/>
        </w:rPr>
        <w:tab/>
        <w:t>Nommer la famille chimique à laquelle appartient la molécule d’oléine et préciser son groupe caractéristique.</w:t>
      </w:r>
    </w:p>
    <w:p w14:paraId="2EA4A11F" w14:textId="77777777" w:rsidR="00DA399A" w:rsidRPr="00F54B52" w:rsidRDefault="00DA399A" w:rsidP="00DA399A">
      <w:pPr>
        <w:spacing w:after="0" w:line="240" w:lineRule="auto"/>
        <w:jc w:val="both"/>
        <w:rPr>
          <w:rFonts w:ascii="Arial" w:hAnsi="Arial" w:cs="Arial"/>
        </w:rPr>
      </w:pPr>
    </w:p>
    <w:p w14:paraId="54B885A3" w14:textId="1D90BC46" w:rsidR="00DA399A" w:rsidRPr="00F54B52" w:rsidRDefault="00DA399A" w:rsidP="00DA399A">
      <w:pPr>
        <w:tabs>
          <w:tab w:val="left" w:pos="567"/>
        </w:tabs>
        <w:spacing w:after="0" w:line="240" w:lineRule="auto"/>
        <w:ind w:left="567" w:hanging="567"/>
        <w:jc w:val="both"/>
        <w:rPr>
          <w:rFonts w:ascii="Arial" w:hAnsi="Arial" w:cs="Arial"/>
        </w:rPr>
      </w:pPr>
      <w:r w:rsidRPr="00F54B52">
        <w:rPr>
          <w:rFonts w:ascii="Arial" w:hAnsi="Arial" w:cs="Arial"/>
          <w:b/>
          <w:bCs/>
        </w:rPr>
        <w:t>Q2.</w:t>
      </w:r>
      <w:r w:rsidRPr="00F54B52">
        <w:rPr>
          <w:rFonts w:ascii="Arial" w:hAnsi="Arial" w:cs="Arial"/>
        </w:rPr>
        <w:tab/>
        <w:t>Donner la formule brute du glycérol, noté A dans l’équation de saponification de l’oléine.</w:t>
      </w:r>
    </w:p>
    <w:p w14:paraId="45EB9ECC" w14:textId="77777777" w:rsidR="00DA399A" w:rsidRPr="00F54B52" w:rsidRDefault="00DA399A" w:rsidP="00DA399A">
      <w:pPr>
        <w:tabs>
          <w:tab w:val="left" w:pos="567"/>
        </w:tabs>
        <w:spacing w:after="0" w:line="240" w:lineRule="auto"/>
        <w:ind w:left="567" w:hanging="567"/>
        <w:jc w:val="both"/>
        <w:rPr>
          <w:rFonts w:ascii="Arial" w:hAnsi="Arial" w:cs="Arial"/>
        </w:rPr>
      </w:pPr>
    </w:p>
    <w:p w14:paraId="5643D6AE" w14:textId="77777777" w:rsidR="00B9156F" w:rsidRPr="00F54B52" w:rsidRDefault="00B9156F" w:rsidP="00B9156F">
      <w:pPr>
        <w:spacing w:after="0" w:line="240" w:lineRule="auto"/>
        <w:jc w:val="both"/>
        <w:rPr>
          <w:rFonts w:ascii="Arial" w:hAnsi="Arial" w:cs="Arial"/>
        </w:rPr>
      </w:pPr>
    </w:p>
    <w:p w14:paraId="5CAF4A86" w14:textId="555182C2" w:rsidR="00C16116" w:rsidRPr="00F54B52" w:rsidRDefault="00DA399A" w:rsidP="00DA399A">
      <w:pPr>
        <w:spacing w:after="0" w:line="240" w:lineRule="auto"/>
        <w:jc w:val="both"/>
        <w:rPr>
          <w:rFonts w:ascii="Arial" w:hAnsi="Arial" w:cs="Arial"/>
        </w:rPr>
      </w:pPr>
      <w:r w:rsidRPr="00E01A61">
        <w:rPr>
          <w:rFonts w:ascii="Arial" w:hAnsi="Arial" w:cs="Arial"/>
          <w:spacing w:val="-4"/>
        </w:rPr>
        <w:t>On donne sur la figure 1 ci-dessous la formule topologique de l’ion oléate, qui possède des propriétés lavantes.</w:t>
      </w:r>
      <w:r w:rsidR="00E01A61">
        <w:rPr>
          <w:rFonts w:ascii="Arial" w:hAnsi="Arial" w:cs="Arial"/>
          <w:spacing w:val="-4"/>
        </w:rPr>
        <w:t xml:space="preserve"> </w:t>
      </w:r>
      <w:r w:rsidRPr="00F54B52">
        <w:rPr>
          <w:rFonts w:ascii="Arial" w:hAnsi="Arial" w:cs="Arial"/>
        </w:rPr>
        <w:t>Cette molécule est amphiphile</w:t>
      </w:r>
      <w:r w:rsidR="00E01A61">
        <w:rPr>
          <w:rFonts w:ascii="Arial" w:hAnsi="Arial" w:cs="Arial"/>
        </w:rPr>
        <w:t> :</w:t>
      </w:r>
      <w:r w:rsidRPr="00F54B52">
        <w:rPr>
          <w:rFonts w:ascii="Arial" w:hAnsi="Arial" w:cs="Arial"/>
        </w:rPr>
        <w:t xml:space="preserve"> elle possède une partie hydrophile, entourée sur la figure 1, et une partie lipophile qui correspond à la chaîne carbonée. Une représentation schématique de cette molécule est également donnée sur la figure 1.</w:t>
      </w:r>
    </w:p>
    <w:p w14:paraId="3E695318" w14:textId="025B2F4A" w:rsidR="00C16116" w:rsidRPr="00F54B52" w:rsidRDefault="00DA399A" w:rsidP="00E01A61">
      <w:pPr>
        <w:spacing w:after="0" w:line="240" w:lineRule="auto"/>
        <w:jc w:val="center"/>
        <w:rPr>
          <w:rFonts w:ascii="Arial" w:hAnsi="Arial" w:cs="Arial"/>
        </w:rPr>
      </w:pPr>
      <w:r w:rsidRPr="00F54B52">
        <w:rPr>
          <w:rFonts w:ascii="Arial" w:hAnsi="Arial" w:cs="Arial"/>
          <w:noProof/>
        </w:rPr>
        <w:drawing>
          <wp:inline distT="0" distB="0" distL="0" distR="0" wp14:anchorId="72BF28A2" wp14:editId="3EFAF1FA">
            <wp:extent cx="5937250" cy="1332971"/>
            <wp:effectExtent l="0" t="0" r="635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222" cy="1340823"/>
                    </a:xfrm>
                    <a:prstGeom prst="rect">
                      <a:avLst/>
                    </a:prstGeom>
                    <a:noFill/>
                    <a:ln>
                      <a:noFill/>
                    </a:ln>
                  </pic:spPr>
                </pic:pic>
              </a:graphicData>
            </a:graphic>
          </wp:inline>
        </w:drawing>
      </w:r>
    </w:p>
    <w:p w14:paraId="1BA04CCC" w14:textId="77777777" w:rsidR="00DA399A" w:rsidRPr="00F54B52" w:rsidRDefault="00DA399A" w:rsidP="00E01A61">
      <w:pPr>
        <w:spacing w:after="0" w:line="240" w:lineRule="auto"/>
        <w:jc w:val="center"/>
        <w:rPr>
          <w:rFonts w:ascii="Arial" w:hAnsi="Arial" w:cs="Arial"/>
        </w:rPr>
      </w:pPr>
      <w:r w:rsidRPr="00F54B52">
        <w:rPr>
          <w:rFonts w:ascii="Arial" w:hAnsi="Arial" w:cs="Arial"/>
        </w:rPr>
        <w:t>Figure 1. Formule topologique et représentation schématique de l’ion oléate</w:t>
      </w:r>
    </w:p>
    <w:p w14:paraId="78E59DB6" w14:textId="77777777" w:rsidR="00E01A61" w:rsidRDefault="00E01A61" w:rsidP="00DA399A">
      <w:pPr>
        <w:spacing w:after="0" w:line="240" w:lineRule="auto"/>
        <w:jc w:val="both"/>
        <w:rPr>
          <w:rFonts w:ascii="Arial" w:hAnsi="Arial" w:cs="Arial"/>
        </w:rPr>
      </w:pPr>
    </w:p>
    <w:p w14:paraId="24DFD458" w14:textId="1E644C21" w:rsidR="00DA399A" w:rsidRPr="00F54B52" w:rsidRDefault="00DA399A" w:rsidP="00E01A61">
      <w:pPr>
        <w:tabs>
          <w:tab w:val="left" w:pos="567"/>
        </w:tabs>
        <w:spacing w:after="120" w:line="240" w:lineRule="auto"/>
        <w:ind w:left="567" w:hanging="567"/>
        <w:jc w:val="both"/>
        <w:rPr>
          <w:rFonts w:ascii="Arial" w:hAnsi="Arial" w:cs="Arial"/>
        </w:rPr>
      </w:pPr>
      <w:r w:rsidRPr="00E01A61">
        <w:rPr>
          <w:rFonts w:ascii="Arial" w:hAnsi="Arial" w:cs="Arial"/>
          <w:b/>
          <w:bCs/>
        </w:rPr>
        <w:t>Q3.</w:t>
      </w:r>
      <w:r w:rsidR="00E01A61">
        <w:rPr>
          <w:rFonts w:ascii="Arial" w:hAnsi="Arial" w:cs="Arial"/>
        </w:rPr>
        <w:tab/>
      </w:r>
      <w:r w:rsidRPr="00F54B52">
        <w:rPr>
          <w:rFonts w:ascii="Arial" w:hAnsi="Arial" w:cs="Arial"/>
        </w:rPr>
        <w:t>Choisir parmi les deux schémas ci-dessous, celui qui illustre les propriétés lavantes des savons. Justifier</w:t>
      </w:r>
      <w:r w:rsidR="00F54B52" w:rsidRPr="00F54B52">
        <w:rPr>
          <w:rFonts w:ascii="Arial" w:hAnsi="Arial" w:cs="Arial"/>
        </w:rPr>
        <w:t xml:space="preserve"> </w:t>
      </w:r>
      <w:r w:rsidRPr="00F54B52">
        <w:rPr>
          <w:rFonts w:ascii="Arial" w:hAnsi="Arial" w:cs="Arial"/>
        </w:rPr>
        <w:t>ce choix.</w:t>
      </w:r>
    </w:p>
    <w:p w14:paraId="033D72C7" w14:textId="60D08D78" w:rsidR="00F54B52" w:rsidRPr="00F54B52" w:rsidRDefault="00F54B52" w:rsidP="00E01A61">
      <w:pPr>
        <w:spacing w:after="0" w:line="240" w:lineRule="auto"/>
        <w:jc w:val="center"/>
        <w:rPr>
          <w:rFonts w:ascii="Arial" w:hAnsi="Arial" w:cs="Arial"/>
        </w:rPr>
      </w:pPr>
      <w:r w:rsidRPr="00F54B52">
        <w:rPr>
          <w:rFonts w:ascii="Arial" w:hAnsi="Arial" w:cs="Arial"/>
          <w:noProof/>
        </w:rPr>
        <w:drawing>
          <wp:inline distT="0" distB="0" distL="0" distR="0" wp14:anchorId="578A2D03" wp14:editId="6DA4D9C2">
            <wp:extent cx="5575300" cy="1361029"/>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23969" cy="1372910"/>
                    </a:xfrm>
                    <a:prstGeom prst="rect">
                      <a:avLst/>
                    </a:prstGeom>
                    <a:noFill/>
                    <a:ln>
                      <a:noFill/>
                    </a:ln>
                  </pic:spPr>
                </pic:pic>
              </a:graphicData>
            </a:graphic>
          </wp:inline>
        </w:drawing>
      </w:r>
    </w:p>
    <w:p w14:paraId="7E6A703D" w14:textId="77777777" w:rsidR="00E01A61" w:rsidRDefault="00E01A61" w:rsidP="00DA399A">
      <w:pPr>
        <w:spacing w:after="0" w:line="240" w:lineRule="auto"/>
        <w:jc w:val="both"/>
        <w:rPr>
          <w:rFonts w:ascii="Arial" w:hAnsi="Arial" w:cs="Arial"/>
        </w:rPr>
      </w:pPr>
    </w:p>
    <w:p w14:paraId="2E78240C" w14:textId="5FCE0A35" w:rsidR="00DA399A" w:rsidRPr="00E01A61" w:rsidRDefault="00DA399A" w:rsidP="00DA399A">
      <w:pPr>
        <w:spacing w:after="0" w:line="240" w:lineRule="auto"/>
        <w:jc w:val="both"/>
        <w:rPr>
          <w:rFonts w:ascii="Arial" w:hAnsi="Arial" w:cs="Arial"/>
          <w:spacing w:val="-2"/>
        </w:rPr>
      </w:pPr>
      <w:r w:rsidRPr="00E01A61">
        <w:rPr>
          <w:rFonts w:ascii="Arial" w:hAnsi="Arial" w:cs="Arial"/>
          <w:spacing w:val="-2"/>
        </w:rPr>
        <w:t>On donne ci-dessous un protocole de fabrication d’un savon à base d’huile d’olive élaboré à partir d’un site</w:t>
      </w:r>
      <w:r w:rsidR="00F54B52" w:rsidRPr="00E01A61">
        <w:rPr>
          <w:rFonts w:ascii="Arial" w:hAnsi="Arial" w:cs="Arial"/>
          <w:spacing w:val="-2"/>
        </w:rPr>
        <w:t xml:space="preserve"> </w:t>
      </w:r>
      <w:r w:rsidRPr="00E01A61">
        <w:rPr>
          <w:rFonts w:ascii="Arial" w:hAnsi="Arial" w:cs="Arial"/>
          <w:spacing w:val="-2"/>
        </w:rPr>
        <w:t>internet</w:t>
      </w:r>
      <w:r w:rsidR="00E01A61" w:rsidRPr="00E01A61">
        <w:rPr>
          <w:rFonts w:ascii="Arial" w:hAnsi="Arial" w:cs="Arial"/>
          <w:spacing w:val="-2"/>
        </w:rPr>
        <w:t> :</w:t>
      </w:r>
    </w:p>
    <w:p w14:paraId="257D5903" w14:textId="2DDCCA86" w:rsidR="00DA399A" w:rsidRPr="00E01A61" w:rsidRDefault="00DA399A" w:rsidP="00E01A61">
      <w:pPr>
        <w:pStyle w:val="Paragraphedeliste"/>
        <w:numPr>
          <w:ilvl w:val="0"/>
          <w:numId w:val="27"/>
        </w:numPr>
        <w:tabs>
          <w:tab w:val="left" w:pos="567"/>
        </w:tabs>
        <w:spacing w:after="0" w:line="240" w:lineRule="auto"/>
        <w:ind w:left="567" w:hanging="283"/>
        <w:jc w:val="both"/>
        <w:rPr>
          <w:rFonts w:ascii="Arial" w:hAnsi="Arial" w:cs="Arial"/>
        </w:rPr>
      </w:pPr>
      <w:proofErr w:type="gramStart"/>
      <w:r w:rsidRPr="00E01A61">
        <w:rPr>
          <w:rFonts w:ascii="Arial" w:hAnsi="Arial" w:cs="Arial"/>
        </w:rPr>
        <w:t>introduire</w:t>
      </w:r>
      <w:proofErr w:type="gramEnd"/>
      <w:r w:rsidRPr="00E01A61">
        <w:rPr>
          <w:rFonts w:ascii="Arial" w:hAnsi="Arial" w:cs="Arial"/>
        </w:rPr>
        <w:t xml:space="preserve"> 50 mL d’eau dans un bécher et ajouter très doucement 25 g d’hydroxyde de sodium solide</w:t>
      </w:r>
      <w:r w:rsidR="00E01A61" w:rsidRPr="00E01A61">
        <w:rPr>
          <w:rFonts w:ascii="Arial" w:hAnsi="Arial" w:cs="Arial"/>
        </w:rPr>
        <w:t xml:space="preserve"> </w:t>
      </w:r>
      <w:r w:rsidRPr="00E01A61">
        <w:rPr>
          <w:rFonts w:ascii="Arial" w:hAnsi="Arial" w:cs="Arial"/>
        </w:rPr>
        <w:t>en agitant régulièrement jusqu’à dissolution complète</w:t>
      </w:r>
      <w:r w:rsidR="00E01A61" w:rsidRPr="00E01A61">
        <w:rPr>
          <w:rFonts w:ascii="Arial" w:hAnsi="Arial" w:cs="Arial"/>
        </w:rPr>
        <w:t> ;</w:t>
      </w:r>
    </w:p>
    <w:p w14:paraId="54CCA021" w14:textId="0F025CDE" w:rsidR="00DA399A" w:rsidRPr="00E01A61" w:rsidRDefault="00DA399A" w:rsidP="00E01A61">
      <w:pPr>
        <w:pStyle w:val="Paragraphedeliste"/>
        <w:numPr>
          <w:ilvl w:val="0"/>
          <w:numId w:val="27"/>
        </w:numPr>
        <w:tabs>
          <w:tab w:val="left" w:pos="567"/>
        </w:tabs>
        <w:spacing w:after="0" w:line="240" w:lineRule="auto"/>
        <w:ind w:left="567" w:hanging="283"/>
        <w:jc w:val="both"/>
        <w:rPr>
          <w:rFonts w:ascii="Arial" w:hAnsi="Arial" w:cs="Arial"/>
          <w:spacing w:val="-2"/>
        </w:rPr>
      </w:pPr>
      <w:proofErr w:type="gramStart"/>
      <w:r w:rsidRPr="00E01A61">
        <w:rPr>
          <w:rFonts w:ascii="Arial" w:hAnsi="Arial" w:cs="Arial"/>
          <w:spacing w:val="-2"/>
        </w:rPr>
        <w:t>verser</w:t>
      </w:r>
      <w:proofErr w:type="gramEnd"/>
      <w:r w:rsidRPr="00E01A61">
        <w:rPr>
          <w:rFonts w:ascii="Arial" w:hAnsi="Arial" w:cs="Arial"/>
          <w:spacing w:val="-2"/>
        </w:rPr>
        <w:t xml:space="preserve"> doucement 220 mL d’huile d’olive en agitant pendant une heure pour obtenir une pâte épaisse</w:t>
      </w:r>
      <w:r w:rsidR="00E01A61" w:rsidRPr="00E01A61">
        <w:rPr>
          <w:rFonts w:ascii="Arial" w:hAnsi="Arial" w:cs="Arial"/>
          <w:spacing w:val="-2"/>
        </w:rPr>
        <w:t> ;</w:t>
      </w:r>
    </w:p>
    <w:p w14:paraId="4927FC3D" w14:textId="79DEFFD6" w:rsidR="00DA399A" w:rsidRPr="00E01A61" w:rsidRDefault="00DA399A" w:rsidP="00E01A61">
      <w:pPr>
        <w:pStyle w:val="Paragraphedeliste"/>
        <w:numPr>
          <w:ilvl w:val="0"/>
          <w:numId w:val="27"/>
        </w:numPr>
        <w:tabs>
          <w:tab w:val="left" w:pos="567"/>
        </w:tabs>
        <w:spacing w:after="0" w:line="240" w:lineRule="auto"/>
        <w:ind w:left="567" w:hanging="283"/>
        <w:jc w:val="both"/>
        <w:rPr>
          <w:rFonts w:ascii="Arial" w:hAnsi="Arial" w:cs="Arial"/>
        </w:rPr>
      </w:pPr>
      <w:proofErr w:type="gramStart"/>
      <w:r w:rsidRPr="00E01A61">
        <w:rPr>
          <w:rFonts w:ascii="Arial" w:hAnsi="Arial" w:cs="Arial"/>
        </w:rPr>
        <w:t>couler</w:t>
      </w:r>
      <w:proofErr w:type="gramEnd"/>
      <w:r w:rsidRPr="00E01A61">
        <w:rPr>
          <w:rFonts w:ascii="Arial" w:hAnsi="Arial" w:cs="Arial"/>
        </w:rPr>
        <w:t xml:space="preserve"> la pâte dans un moule, recouvrir hermétiquement de film alimentaire</w:t>
      </w:r>
      <w:r w:rsidR="00E01A61" w:rsidRPr="00E01A61">
        <w:rPr>
          <w:rFonts w:ascii="Arial" w:hAnsi="Arial" w:cs="Arial"/>
        </w:rPr>
        <w:t> ;</w:t>
      </w:r>
    </w:p>
    <w:p w14:paraId="1E04795E" w14:textId="3B7B7B99" w:rsidR="00DA399A" w:rsidRPr="00E01A61" w:rsidRDefault="00DA399A" w:rsidP="00E01A61">
      <w:pPr>
        <w:pStyle w:val="Paragraphedeliste"/>
        <w:numPr>
          <w:ilvl w:val="0"/>
          <w:numId w:val="27"/>
        </w:numPr>
        <w:tabs>
          <w:tab w:val="left" w:pos="567"/>
        </w:tabs>
        <w:spacing w:after="0" w:line="240" w:lineRule="auto"/>
        <w:ind w:left="567" w:hanging="283"/>
        <w:jc w:val="both"/>
        <w:rPr>
          <w:rFonts w:ascii="Arial" w:hAnsi="Arial" w:cs="Arial"/>
        </w:rPr>
      </w:pPr>
      <w:proofErr w:type="gramStart"/>
      <w:r w:rsidRPr="00E01A61">
        <w:rPr>
          <w:rFonts w:ascii="Arial" w:hAnsi="Arial" w:cs="Arial"/>
        </w:rPr>
        <w:t>après</w:t>
      </w:r>
      <w:proofErr w:type="gramEnd"/>
      <w:r w:rsidRPr="00E01A61">
        <w:rPr>
          <w:rFonts w:ascii="Arial" w:hAnsi="Arial" w:cs="Arial"/>
        </w:rPr>
        <w:t xml:space="preserve"> 48 h, démouler le solide et laisser à l’air libre au moins 6 semaines pour obtenir le savon.</w:t>
      </w:r>
    </w:p>
    <w:p w14:paraId="60DE113F" w14:textId="77777777" w:rsidR="00E01A61" w:rsidRDefault="00E01A61" w:rsidP="00DA399A">
      <w:pPr>
        <w:spacing w:after="0" w:line="240" w:lineRule="auto"/>
        <w:jc w:val="both"/>
        <w:rPr>
          <w:rFonts w:ascii="Arial" w:hAnsi="Arial" w:cs="Arial"/>
        </w:rPr>
      </w:pPr>
    </w:p>
    <w:p w14:paraId="16371326" w14:textId="488CE946" w:rsidR="00DA399A" w:rsidRDefault="00DA399A" w:rsidP="00DA399A">
      <w:pPr>
        <w:spacing w:after="0" w:line="240" w:lineRule="auto"/>
        <w:jc w:val="both"/>
        <w:rPr>
          <w:rFonts w:ascii="Arial" w:hAnsi="Arial" w:cs="Arial"/>
        </w:rPr>
      </w:pPr>
      <w:r w:rsidRPr="00F54B52">
        <w:rPr>
          <w:rFonts w:ascii="Arial" w:hAnsi="Arial" w:cs="Arial"/>
        </w:rPr>
        <w:t>Ce protocole est accompagné d’une consigne importante</w:t>
      </w:r>
      <w:r w:rsidR="00E01A61">
        <w:rPr>
          <w:rFonts w:ascii="Arial" w:hAnsi="Arial" w:cs="Arial"/>
        </w:rPr>
        <w:t> :</w:t>
      </w:r>
      <w:r w:rsidRPr="00F54B52">
        <w:rPr>
          <w:rFonts w:ascii="Arial" w:hAnsi="Arial" w:cs="Arial"/>
        </w:rPr>
        <w:t xml:space="preserve"> «</w:t>
      </w:r>
      <w:r w:rsidR="00E01A61">
        <w:rPr>
          <w:rFonts w:ascii="Arial" w:hAnsi="Arial" w:cs="Arial"/>
        </w:rPr>
        <w:t> </w:t>
      </w:r>
      <w:r w:rsidRPr="00F54B52">
        <w:rPr>
          <w:rFonts w:ascii="Arial" w:hAnsi="Arial" w:cs="Arial"/>
        </w:rPr>
        <w:t>la saponification est dangereuse et nécessite de</w:t>
      </w:r>
      <w:r w:rsidR="00E01A61">
        <w:rPr>
          <w:rFonts w:ascii="Arial" w:hAnsi="Arial" w:cs="Arial"/>
        </w:rPr>
        <w:t xml:space="preserve"> </w:t>
      </w:r>
      <w:r w:rsidRPr="00F54B52">
        <w:rPr>
          <w:rFonts w:ascii="Arial" w:hAnsi="Arial" w:cs="Arial"/>
        </w:rPr>
        <w:t>porter une blouse, des lunettes de protection et des gants</w:t>
      </w:r>
      <w:r w:rsidR="00E01A61">
        <w:rPr>
          <w:rFonts w:ascii="Arial" w:hAnsi="Arial" w:cs="Arial"/>
        </w:rPr>
        <w:t> </w:t>
      </w:r>
      <w:r w:rsidRPr="00F54B52">
        <w:rPr>
          <w:rFonts w:ascii="Arial" w:hAnsi="Arial" w:cs="Arial"/>
        </w:rPr>
        <w:t>».</w:t>
      </w:r>
    </w:p>
    <w:p w14:paraId="74DD616F" w14:textId="77777777" w:rsidR="00E01A61" w:rsidRPr="00F54B52" w:rsidRDefault="00E01A61" w:rsidP="00DA399A">
      <w:pPr>
        <w:spacing w:after="0" w:line="240" w:lineRule="auto"/>
        <w:jc w:val="both"/>
        <w:rPr>
          <w:rFonts w:ascii="Arial" w:hAnsi="Arial" w:cs="Arial"/>
        </w:rPr>
      </w:pPr>
    </w:p>
    <w:p w14:paraId="0039B1C7" w14:textId="0C4027B3" w:rsidR="00DA399A" w:rsidRPr="00E01A61" w:rsidRDefault="00DA399A" w:rsidP="00E01A61">
      <w:pPr>
        <w:tabs>
          <w:tab w:val="left" w:pos="567"/>
        </w:tabs>
        <w:spacing w:after="120" w:line="240" w:lineRule="auto"/>
        <w:ind w:left="567" w:hanging="567"/>
        <w:jc w:val="both"/>
        <w:rPr>
          <w:rFonts w:ascii="Arial" w:hAnsi="Arial" w:cs="Arial"/>
          <w:spacing w:val="-4"/>
        </w:rPr>
      </w:pPr>
      <w:r w:rsidRPr="00E01A61">
        <w:rPr>
          <w:rFonts w:ascii="Arial" w:hAnsi="Arial" w:cs="Arial"/>
          <w:b/>
          <w:bCs/>
          <w:spacing w:val="-4"/>
        </w:rPr>
        <w:t>Q4.</w:t>
      </w:r>
      <w:r w:rsidR="00E01A61" w:rsidRPr="00E01A61">
        <w:rPr>
          <w:rFonts w:ascii="Arial" w:hAnsi="Arial" w:cs="Arial"/>
          <w:spacing w:val="-4"/>
        </w:rPr>
        <w:tab/>
      </w:r>
      <w:r w:rsidRPr="00E01A61">
        <w:rPr>
          <w:rFonts w:ascii="Arial" w:hAnsi="Arial" w:cs="Arial"/>
          <w:spacing w:val="-4"/>
        </w:rPr>
        <w:t>Déterminer la concentration en quantité de matière de la solution d’hydroxyde de sodium préparée dans</w:t>
      </w:r>
      <w:r w:rsidR="00E01A61" w:rsidRPr="00E01A61">
        <w:rPr>
          <w:rFonts w:ascii="Arial" w:hAnsi="Arial" w:cs="Arial"/>
          <w:spacing w:val="-4"/>
        </w:rPr>
        <w:t xml:space="preserve"> </w:t>
      </w:r>
      <w:r w:rsidRPr="00E01A61">
        <w:rPr>
          <w:rFonts w:ascii="Arial" w:hAnsi="Arial" w:cs="Arial"/>
          <w:spacing w:val="-4"/>
        </w:rPr>
        <w:t>la première étape du protocole en supposant que la dissolution s’effectue sans variation de volume.</w:t>
      </w:r>
      <w:r w:rsidR="00E01A61" w:rsidRPr="00E01A61">
        <w:rPr>
          <w:rFonts w:ascii="Arial" w:hAnsi="Arial" w:cs="Arial"/>
          <w:spacing w:val="-4"/>
        </w:rPr>
        <w:t xml:space="preserve"> </w:t>
      </w:r>
      <w:r w:rsidRPr="00E01A61">
        <w:rPr>
          <w:rFonts w:ascii="Arial" w:hAnsi="Arial" w:cs="Arial"/>
          <w:spacing w:val="-4"/>
        </w:rPr>
        <w:t>Commenter.</w:t>
      </w:r>
    </w:p>
    <w:p w14:paraId="4065DFF5" w14:textId="31C6578D" w:rsidR="00DA399A" w:rsidRPr="00F54B52" w:rsidRDefault="00DA399A" w:rsidP="00E01A61">
      <w:pPr>
        <w:tabs>
          <w:tab w:val="left" w:pos="567"/>
        </w:tabs>
        <w:spacing w:after="120" w:line="240" w:lineRule="auto"/>
        <w:ind w:left="567" w:hanging="567"/>
        <w:jc w:val="both"/>
        <w:rPr>
          <w:rFonts w:ascii="Arial" w:hAnsi="Arial" w:cs="Arial"/>
        </w:rPr>
      </w:pPr>
      <w:r w:rsidRPr="00E01A61">
        <w:rPr>
          <w:rFonts w:ascii="Arial" w:hAnsi="Arial" w:cs="Arial"/>
          <w:b/>
          <w:bCs/>
        </w:rPr>
        <w:t>Q5.</w:t>
      </w:r>
      <w:r w:rsidR="00E01A61">
        <w:rPr>
          <w:rFonts w:ascii="Arial" w:hAnsi="Arial" w:cs="Arial"/>
        </w:rPr>
        <w:tab/>
      </w:r>
      <w:r w:rsidRPr="00F54B52">
        <w:rPr>
          <w:rFonts w:ascii="Arial" w:hAnsi="Arial" w:cs="Arial"/>
        </w:rPr>
        <w:t>Indiquer, en justifiant, l’évolution attendue du pH du milieu au cours de la fabrication du savon.</w:t>
      </w:r>
    </w:p>
    <w:p w14:paraId="7CC655B0" w14:textId="6A235BB7" w:rsidR="00DA399A" w:rsidRPr="00F54B52" w:rsidRDefault="00DA399A" w:rsidP="00E01A61">
      <w:pPr>
        <w:tabs>
          <w:tab w:val="left" w:pos="567"/>
        </w:tabs>
        <w:spacing w:after="0" w:line="240" w:lineRule="auto"/>
        <w:ind w:left="567" w:hanging="567"/>
        <w:jc w:val="both"/>
        <w:rPr>
          <w:rFonts w:ascii="Arial" w:hAnsi="Arial" w:cs="Arial"/>
        </w:rPr>
      </w:pPr>
      <w:r w:rsidRPr="00E01A61">
        <w:rPr>
          <w:rFonts w:ascii="Arial" w:hAnsi="Arial" w:cs="Arial"/>
          <w:b/>
          <w:bCs/>
        </w:rPr>
        <w:t>Q6.</w:t>
      </w:r>
      <w:r w:rsidR="00E01A61">
        <w:rPr>
          <w:rFonts w:ascii="Arial" w:hAnsi="Arial" w:cs="Arial"/>
        </w:rPr>
        <w:tab/>
      </w:r>
      <w:r w:rsidRPr="00F54B52">
        <w:rPr>
          <w:rFonts w:ascii="Arial" w:hAnsi="Arial" w:cs="Arial"/>
        </w:rPr>
        <w:t>Déterminer la masse restante d’oléine à l’état final. On peut par exemple s’appuyer sur un tableau</w:t>
      </w:r>
      <w:r w:rsidR="00E01A61">
        <w:rPr>
          <w:rFonts w:ascii="Arial" w:hAnsi="Arial" w:cs="Arial"/>
        </w:rPr>
        <w:t xml:space="preserve"> </w:t>
      </w:r>
      <w:r w:rsidRPr="00F54B52">
        <w:rPr>
          <w:rFonts w:ascii="Arial" w:hAnsi="Arial" w:cs="Arial"/>
        </w:rPr>
        <w:t>d’avancement.</w:t>
      </w:r>
    </w:p>
    <w:p w14:paraId="691A9559" w14:textId="77777777" w:rsidR="00E01A61" w:rsidRDefault="00E01A61" w:rsidP="00DA399A">
      <w:pPr>
        <w:spacing w:after="0" w:line="240" w:lineRule="auto"/>
        <w:jc w:val="both"/>
        <w:rPr>
          <w:rFonts w:ascii="Arial" w:hAnsi="Arial" w:cs="Arial"/>
        </w:rPr>
      </w:pPr>
    </w:p>
    <w:p w14:paraId="21C6207C" w14:textId="6BEFC9B8" w:rsidR="00DA399A" w:rsidRPr="00E01A61" w:rsidRDefault="00DA399A" w:rsidP="00DA399A">
      <w:pPr>
        <w:spacing w:after="0" w:line="240" w:lineRule="auto"/>
        <w:jc w:val="both"/>
        <w:rPr>
          <w:rFonts w:ascii="Arial" w:hAnsi="Arial" w:cs="Arial"/>
          <w:spacing w:val="-2"/>
        </w:rPr>
      </w:pPr>
      <w:r w:rsidRPr="00E01A61">
        <w:rPr>
          <w:rFonts w:ascii="Arial" w:hAnsi="Arial" w:cs="Arial"/>
          <w:spacing w:val="-2"/>
        </w:rPr>
        <w:t>On appelle surgraissage le pourcentage en masse d’huile non saponifiée lors de la fabrication du savon. La</w:t>
      </w:r>
      <w:r w:rsidR="00E01A61" w:rsidRPr="00E01A61">
        <w:rPr>
          <w:rFonts w:ascii="Arial" w:hAnsi="Arial" w:cs="Arial"/>
          <w:spacing w:val="-2"/>
        </w:rPr>
        <w:t xml:space="preserve"> </w:t>
      </w:r>
      <w:r w:rsidRPr="00E01A61">
        <w:rPr>
          <w:rFonts w:ascii="Arial" w:hAnsi="Arial" w:cs="Arial"/>
          <w:spacing w:val="-2"/>
        </w:rPr>
        <w:t>plupart des savons ont un surgraissage compris entre 5 % et 10 %.</w:t>
      </w:r>
    </w:p>
    <w:p w14:paraId="2906C61B" w14:textId="77777777" w:rsidR="00E01A61" w:rsidRPr="00F54B52" w:rsidRDefault="00E01A61" w:rsidP="00DA399A">
      <w:pPr>
        <w:spacing w:after="0" w:line="240" w:lineRule="auto"/>
        <w:jc w:val="both"/>
        <w:rPr>
          <w:rFonts w:ascii="Arial" w:hAnsi="Arial" w:cs="Arial"/>
        </w:rPr>
      </w:pPr>
    </w:p>
    <w:p w14:paraId="0C24CBC7" w14:textId="7AA31B63" w:rsidR="0058719A" w:rsidRPr="00F54B52" w:rsidRDefault="00DA399A" w:rsidP="00E01A61">
      <w:pPr>
        <w:tabs>
          <w:tab w:val="left" w:pos="567"/>
        </w:tabs>
        <w:spacing w:after="0" w:line="240" w:lineRule="auto"/>
        <w:ind w:left="567" w:hanging="567"/>
        <w:jc w:val="both"/>
        <w:rPr>
          <w:rFonts w:ascii="Arial" w:hAnsi="Arial" w:cs="Arial"/>
        </w:rPr>
      </w:pPr>
      <w:r w:rsidRPr="00E01A61">
        <w:rPr>
          <w:rFonts w:ascii="Arial" w:hAnsi="Arial" w:cs="Arial"/>
          <w:b/>
          <w:bCs/>
        </w:rPr>
        <w:t>Q7.</w:t>
      </w:r>
      <w:r w:rsidR="00E01A61">
        <w:rPr>
          <w:rFonts w:ascii="Arial" w:hAnsi="Arial" w:cs="Arial"/>
        </w:rPr>
        <w:tab/>
      </w:r>
      <w:r w:rsidRPr="00F54B52">
        <w:rPr>
          <w:rFonts w:ascii="Arial" w:hAnsi="Arial" w:cs="Arial"/>
        </w:rPr>
        <w:t>Déterminer le surgraissage du savon obtenu par cette méthode.</w:t>
      </w:r>
    </w:p>
    <w:p w14:paraId="12E3DE95" w14:textId="64438A2E" w:rsidR="00B9156F" w:rsidRPr="00F54B52" w:rsidRDefault="00B9156F">
      <w:pPr>
        <w:rPr>
          <w:rFonts w:ascii="Arial" w:hAnsi="Arial" w:cs="Arial"/>
        </w:rPr>
      </w:pPr>
      <w:r w:rsidRPr="00F54B52">
        <w:rPr>
          <w:rFonts w:ascii="Arial" w:hAnsi="Arial" w:cs="Arial"/>
        </w:rPr>
        <w:br w:type="page"/>
      </w:r>
    </w:p>
    <w:p w14:paraId="7FD3F341" w14:textId="418BD71D" w:rsidR="00DA399A" w:rsidRPr="00E01A61" w:rsidRDefault="00DA399A" w:rsidP="00E01A61">
      <w:pPr>
        <w:tabs>
          <w:tab w:val="left" w:pos="284"/>
        </w:tabs>
        <w:spacing w:after="0" w:line="240" w:lineRule="auto"/>
        <w:ind w:left="284" w:hanging="284"/>
        <w:jc w:val="both"/>
        <w:rPr>
          <w:rFonts w:ascii="Arial" w:hAnsi="Arial" w:cs="Arial"/>
          <w:b/>
          <w:bCs/>
        </w:rPr>
      </w:pPr>
      <w:r w:rsidRPr="00E01A61">
        <w:rPr>
          <w:rFonts w:ascii="Arial" w:hAnsi="Arial" w:cs="Arial"/>
          <w:b/>
          <w:bCs/>
        </w:rPr>
        <w:lastRenderedPageBreak/>
        <w:t>2.</w:t>
      </w:r>
      <w:r w:rsidR="00E01A61" w:rsidRPr="00E01A61">
        <w:rPr>
          <w:rFonts w:ascii="Arial" w:hAnsi="Arial" w:cs="Arial"/>
          <w:b/>
          <w:bCs/>
        </w:rPr>
        <w:tab/>
      </w:r>
      <w:r w:rsidRPr="00E01A61">
        <w:rPr>
          <w:rFonts w:ascii="Arial" w:hAnsi="Arial" w:cs="Arial"/>
          <w:b/>
          <w:bCs/>
        </w:rPr>
        <w:t>Fabrication artisanale du savon</w:t>
      </w:r>
    </w:p>
    <w:p w14:paraId="5CC6F020" w14:textId="77777777" w:rsidR="00E01A61" w:rsidRDefault="00E01A61" w:rsidP="00DA399A">
      <w:pPr>
        <w:spacing w:after="0" w:line="240" w:lineRule="auto"/>
        <w:jc w:val="both"/>
        <w:rPr>
          <w:rFonts w:ascii="Arial" w:hAnsi="Arial" w:cs="Arial"/>
        </w:rPr>
      </w:pPr>
    </w:p>
    <w:p w14:paraId="76B53E99" w14:textId="5861F124" w:rsidR="00DA399A" w:rsidRPr="00B663FF" w:rsidRDefault="00DA399A" w:rsidP="00DA399A">
      <w:pPr>
        <w:spacing w:after="0" w:line="240" w:lineRule="auto"/>
        <w:jc w:val="both"/>
        <w:rPr>
          <w:rFonts w:ascii="Arial" w:hAnsi="Arial" w:cs="Arial"/>
          <w:spacing w:val="-2"/>
        </w:rPr>
      </w:pPr>
      <w:r w:rsidRPr="00B663FF">
        <w:rPr>
          <w:rFonts w:ascii="Arial" w:hAnsi="Arial" w:cs="Arial"/>
          <w:spacing w:val="-2"/>
        </w:rPr>
        <w:t xml:space="preserve">Le procédé historique de fabrication du savon de Marseille est décrit dans le </w:t>
      </w:r>
      <w:r w:rsidRPr="00B663FF">
        <w:rPr>
          <w:rFonts w:ascii="Arial" w:hAnsi="Arial" w:cs="Arial"/>
          <w:i/>
          <w:iCs/>
          <w:spacing w:val="-2"/>
        </w:rPr>
        <w:t>Traité complet de la fabrication</w:t>
      </w:r>
      <w:r w:rsidR="00E01A61" w:rsidRPr="00B663FF">
        <w:rPr>
          <w:rFonts w:ascii="Arial" w:hAnsi="Arial" w:cs="Arial"/>
          <w:i/>
          <w:iCs/>
          <w:spacing w:val="-2"/>
        </w:rPr>
        <w:t xml:space="preserve"> </w:t>
      </w:r>
      <w:r w:rsidRPr="00B663FF">
        <w:rPr>
          <w:rFonts w:ascii="Arial" w:hAnsi="Arial" w:cs="Arial"/>
          <w:i/>
          <w:iCs/>
          <w:spacing w:val="-2"/>
        </w:rPr>
        <w:t>des savons</w:t>
      </w:r>
      <w:r w:rsidRPr="00B663FF">
        <w:rPr>
          <w:rFonts w:ascii="Arial" w:hAnsi="Arial" w:cs="Arial"/>
          <w:spacing w:val="-2"/>
        </w:rPr>
        <w:t xml:space="preserve"> écrit par G. Eugène </w:t>
      </w:r>
      <w:proofErr w:type="spellStart"/>
      <w:r w:rsidRPr="00B663FF">
        <w:rPr>
          <w:rFonts w:ascii="Arial" w:hAnsi="Arial" w:cs="Arial"/>
          <w:spacing w:val="-2"/>
        </w:rPr>
        <w:t>Lormé</w:t>
      </w:r>
      <w:proofErr w:type="spellEnd"/>
      <w:r w:rsidRPr="00B663FF">
        <w:rPr>
          <w:rFonts w:ascii="Arial" w:hAnsi="Arial" w:cs="Arial"/>
          <w:spacing w:val="-2"/>
        </w:rPr>
        <w:t xml:space="preserve"> en 1859.</w:t>
      </w:r>
    </w:p>
    <w:p w14:paraId="0AD81BE2" w14:textId="77777777" w:rsidR="00B663FF" w:rsidRPr="00F54B52" w:rsidRDefault="00B663FF" w:rsidP="00DA399A">
      <w:pPr>
        <w:spacing w:after="0" w:line="240" w:lineRule="auto"/>
        <w:jc w:val="both"/>
        <w:rPr>
          <w:rFonts w:ascii="Arial" w:hAnsi="Arial" w:cs="Arial"/>
        </w:rPr>
      </w:pPr>
    </w:p>
    <w:p w14:paraId="222F7583" w14:textId="6EF7D6DB" w:rsidR="00DA399A" w:rsidRDefault="00DA399A" w:rsidP="00DA399A">
      <w:pPr>
        <w:spacing w:after="0" w:line="240" w:lineRule="auto"/>
        <w:jc w:val="both"/>
        <w:rPr>
          <w:rFonts w:ascii="Arial" w:hAnsi="Arial" w:cs="Arial"/>
        </w:rPr>
      </w:pPr>
      <w:r w:rsidRPr="00F54B52">
        <w:rPr>
          <w:rFonts w:ascii="Arial" w:hAnsi="Arial" w:cs="Arial"/>
        </w:rPr>
        <w:t>On donne ci-dessous les étapes décrites dans le traité</w:t>
      </w:r>
      <w:r w:rsidR="00B663FF">
        <w:rPr>
          <w:rFonts w:ascii="Arial" w:hAnsi="Arial" w:cs="Arial"/>
        </w:rPr>
        <w:t> :</w:t>
      </w:r>
    </w:p>
    <w:p w14:paraId="4FBA9C6B" w14:textId="77777777" w:rsidR="00B663FF" w:rsidRPr="00F54B52" w:rsidRDefault="00B663FF" w:rsidP="00DA399A">
      <w:pPr>
        <w:spacing w:after="0" w:line="240" w:lineRule="auto"/>
        <w:jc w:val="both"/>
        <w:rPr>
          <w:rFonts w:ascii="Arial" w:hAnsi="Arial" w:cs="Arial"/>
        </w:rPr>
      </w:pPr>
    </w:p>
    <w:p w14:paraId="11BBE042" w14:textId="36819605" w:rsidR="00DA399A" w:rsidRPr="00B663FF" w:rsidRDefault="00DA399A" w:rsidP="00B663FF">
      <w:pPr>
        <w:pStyle w:val="Paragraphedeliste"/>
        <w:numPr>
          <w:ilvl w:val="0"/>
          <w:numId w:val="29"/>
        </w:numPr>
        <w:tabs>
          <w:tab w:val="left" w:pos="567"/>
        </w:tabs>
        <w:spacing w:after="0" w:line="240" w:lineRule="auto"/>
        <w:ind w:left="567" w:hanging="283"/>
        <w:jc w:val="both"/>
        <w:rPr>
          <w:rFonts w:ascii="Arial" w:hAnsi="Arial" w:cs="Arial"/>
          <w:spacing w:val="-2"/>
        </w:rPr>
      </w:pPr>
      <w:proofErr w:type="gramStart"/>
      <w:r w:rsidRPr="00B663FF">
        <w:rPr>
          <w:rFonts w:ascii="Arial" w:hAnsi="Arial" w:cs="Arial"/>
          <w:spacing w:val="-2"/>
        </w:rPr>
        <w:t>le</w:t>
      </w:r>
      <w:proofErr w:type="gramEnd"/>
      <w:r w:rsidRPr="00B663FF">
        <w:rPr>
          <w:rFonts w:ascii="Arial" w:hAnsi="Arial" w:cs="Arial"/>
          <w:spacing w:val="-2"/>
        </w:rPr>
        <w:t xml:space="preserve"> mélange d’un excès de soude et d’huile d’olive est porté à ébullition pendant une dizaine d’heures</w:t>
      </w:r>
      <w:r w:rsidR="00B663FF" w:rsidRPr="00B663FF">
        <w:rPr>
          <w:rFonts w:ascii="Arial" w:hAnsi="Arial" w:cs="Arial"/>
          <w:spacing w:val="-2"/>
        </w:rPr>
        <w:t> ;</w:t>
      </w:r>
    </w:p>
    <w:p w14:paraId="6F970A42" w14:textId="6CB29249" w:rsidR="00DA399A" w:rsidRPr="00B663FF" w:rsidRDefault="00DA399A" w:rsidP="00B663FF">
      <w:pPr>
        <w:pStyle w:val="Paragraphedeliste"/>
        <w:numPr>
          <w:ilvl w:val="0"/>
          <w:numId w:val="29"/>
        </w:numPr>
        <w:tabs>
          <w:tab w:val="left" w:pos="567"/>
        </w:tabs>
        <w:spacing w:after="0" w:line="240" w:lineRule="auto"/>
        <w:ind w:left="567" w:hanging="283"/>
        <w:jc w:val="both"/>
        <w:rPr>
          <w:rFonts w:ascii="Arial" w:hAnsi="Arial" w:cs="Arial"/>
        </w:rPr>
      </w:pPr>
      <w:proofErr w:type="gramStart"/>
      <w:r w:rsidRPr="00B663FF">
        <w:rPr>
          <w:rFonts w:ascii="Arial" w:hAnsi="Arial" w:cs="Arial"/>
        </w:rPr>
        <w:t>de</w:t>
      </w:r>
      <w:proofErr w:type="gramEnd"/>
      <w:r w:rsidRPr="00B663FF">
        <w:rPr>
          <w:rFonts w:ascii="Arial" w:hAnsi="Arial" w:cs="Arial"/>
        </w:rPr>
        <w:t xml:space="preserve"> l’eau salée est ajoutée au milieu réactionnel (relargage)</w:t>
      </w:r>
      <w:r w:rsidR="00B663FF" w:rsidRPr="00B663FF">
        <w:rPr>
          <w:rFonts w:ascii="Arial" w:hAnsi="Arial" w:cs="Arial"/>
        </w:rPr>
        <w:t> ;</w:t>
      </w:r>
    </w:p>
    <w:p w14:paraId="6AA34D95" w14:textId="0F8FCD31" w:rsidR="00DA399A" w:rsidRPr="00B663FF" w:rsidRDefault="00DA399A" w:rsidP="00B663FF">
      <w:pPr>
        <w:pStyle w:val="Paragraphedeliste"/>
        <w:numPr>
          <w:ilvl w:val="0"/>
          <w:numId w:val="29"/>
        </w:numPr>
        <w:tabs>
          <w:tab w:val="left" w:pos="567"/>
        </w:tabs>
        <w:spacing w:after="0" w:line="240" w:lineRule="auto"/>
        <w:ind w:left="567" w:hanging="283"/>
        <w:jc w:val="both"/>
        <w:rPr>
          <w:rFonts w:ascii="Arial" w:hAnsi="Arial" w:cs="Arial"/>
        </w:rPr>
      </w:pPr>
      <w:proofErr w:type="gramStart"/>
      <w:r w:rsidRPr="00B663FF">
        <w:rPr>
          <w:rFonts w:ascii="Arial" w:hAnsi="Arial" w:cs="Arial"/>
        </w:rPr>
        <w:t>de</w:t>
      </w:r>
      <w:proofErr w:type="gramEnd"/>
      <w:r w:rsidRPr="00B663FF">
        <w:rPr>
          <w:rFonts w:ascii="Arial" w:hAnsi="Arial" w:cs="Arial"/>
        </w:rPr>
        <w:t xml:space="preserve"> la soude est ajoutée au savon très chaud pour qu’il gagne en consistance et en pureté, puis il est</w:t>
      </w:r>
      <w:r w:rsidR="00B663FF" w:rsidRPr="00B663FF">
        <w:rPr>
          <w:rFonts w:ascii="Arial" w:hAnsi="Arial" w:cs="Arial"/>
        </w:rPr>
        <w:t xml:space="preserve"> </w:t>
      </w:r>
      <w:r w:rsidRPr="00B663FF">
        <w:rPr>
          <w:rFonts w:ascii="Arial" w:hAnsi="Arial" w:cs="Arial"/>
        </w:rPr>
        <w:t>lavé plusieurs fois à l’eau, le savon est enfin laissé à l’air libre plusieurs semaines pour sécher.</w:t>
      </w:r>
    </w:p>
    <w:p w14:paraId="194EC16D" w14:textId="77777777" w:rsidR="00B663FF" w:rsidRDefault="00B663FF" w:rsidP="00DA399A">
      <w:pPr>
        <w:spacing w:after="0" w:line="240" w:lineRule="auto"/>
        <w:jc w:val="both"/>
        <w:rPr>
          <w:rFonts w:ascii="Arial" w:hAnsi="Arial" w:cs="Arial"/>
        </w:rPr>
      </w:pPr>
    </w:p>
    <w:p w14:paraId="15E433A2" w14:textId="48EDB9EC" w:rsidR="00DA399A" w:rsidRDefault="00DA399A" w:rsidP="008A0674">
      <w:pPr>
        <w:tabs>
          <w:tab w:val="left" w:pos="567"/>
        </w:tabs>
        <w:spacing w:after="0" w:line="240" w:lineRule="auto"/>
        <w:ind w:left="567" w:hanging="567"/>
        <w:jc w:val="both"/>
        <w:rPr>
          <w:rFonts w:ascii="Arial" w:hAnsi="Arial" w:cs="Arial"/>
        </w:rPr>
      </w:pPr>
      <w:r w:rsidRPr="00B663FF">
        <w:rPr>
          <w:rFonts w:ascii="Arial" w:hAnsi="Arial" w:cs="Arial"/>
          <w:b/>
          <w:bCs/>
        </w:rPr>
        <w:t>Q8.</w:t>
      </w:r>
      <w:r w:rsidR="00B663FF">
        <w:rPr>
          <w:rFonts w:ascii="Arial" w:hAnsi="Arial" w:cs="Arial"/>
        </w:rPr>
        <w:tab/>
      </w:r>
      <w:r w:rsidRPr="00F54B52">
        <w:rPr>
          <w:rFonts w:ascii="Arial" w:hAnsi="Arial" w:cs="Arial"/>
        </w:rPr>
        <w:t>Expliquer, en utilisant les données, l’intérêt du relargage.</w:t>
      </w:r>
    </w:p>
    <w:p w14:paraId="337E0D85" w14:textId="77777777" w:rsidR="008A0674" w:rsidRPr="00F54B52" w:rsidRDefault="008A0674" w:rsidP="008A0674">
      <w:pPr>
        <w:tabs>
          <w:tab w:val="left" w:pos="567"/>
        </w:tabs>
        <w:spacing w:after="0" w:line="240" w:lineRule="auto"/>
        <w:ind w:left="567" w:hanging="567"/>
        <w:jc w:val="both"/>
        <w:rPr>
          <w:rFonts w:ascii="Arial" w:hAnsi="Arial" w:cs="Arial"/>
        </w:rPr>
      </w:pPr>
    </w:p>
    <w:p w14:paraId="2E40251E" w14:textId="0C4A69B4" w:rsidR="00DA399A" w:rsidRPr="008A0674" w:rsidRDefault="00DA399A" w:rsidP="008A0674">
      <w:pPr>
        <w:tabs>
          <w:tab w:val="left" w:pos="567"/>
        </w:tabs>
        <w:spacing w:after="0" w:line="240" w:lineRule="auto"/>
        <w:ind w:left="567" w:hanging="567"/>
        <w:jc w:val="both"/>
        <w:rPr>
          <w:rFonts w:ascii="Arial" w:hAnsi="Arial" w:cs="Arial"/>
          <w:spacing w:val="-2"/>
        </w:rPr>
      </w:pPr>
      <w:r w:rsidRPr="008A0674">
        <w:rPr>
          <w:rFonts w:ascii="Arial" w:hAnsi="Arial" w:cs="Arial"/>
          <w:b/>
          <w:bCs/>
          <w:spacing w:val="-2"/>
        </w:rPr>
        <w:t>Q9.</w:t>
      </w:r>
      <w:r w:rsidR="00B663FF" w:rsidRPr="008A0674">
        <w:rPr>
          <w:rFonts w:ascii="Arial" w:hAnsi="Arial" w:cs="Arial"/>
          <w:spacing w:val="-2"/>
        </w:rPr>
        <w:tab/>
      </w:r>
      <w:r w:rsidRPr="008A0674">
        <w:rPr>
          <w:rFonts w:ascii="Arial" w:hAnsi="Arial" w:cs="Arial"/>
          <w:spacing w:val="-2"/>
        </w:rPr>
        <w:t>Identifier dans le protocole de la partie ci-dessus, la stratégie choisie permettant d’optimiser le procédé</w:t>
      </w:r>
      <w:r w:rsidR="00B663FF" w:rsidRPr="008A0674">
        <w:rPr>
          <w:rFonts w:ascii="Arial" w:hAnsi="Arial" w:cs="Arial"/>
          <w:spacing w:val="-2"/>
        </w:rPr>
        <w:t xml:space="preserve"> </w:t>
      </w:r>
      <w:r w:rsidRPr="008A0674">
        <w:rPr>
          <w:rFonts w:ascii="Arial" w:hAnsi="Arial" w:cs="Arial"/>
          <w:spacing w:val="-2"/>
        </w:rPr>
        <w:t>par rapport à celle de la fabrication maison du savon de la partie 1.</w:t>
      </w:r>
    </w:p>
    <w:p w14:paraId="482DED89" w14:textId="77777777" w:rsidR="00B663FF" w:rsidRDefault="00B663FF" w:rsidP="00DA399A">
      <w:pPr>
        <w:spacing w:after="0" w:line="240" w:lineRule="auto"/>
        <w:jc w:val="both"/>
        <w:rPr>
          <w:rFonts w:ascii="Arial" w:hAnsi="Arial" w:cs="Arial"/>
        </w:rPr>
      </w:pPr>
    </w:p>
    <w:p w14:paraId="6DDCB0DC" w14:textId="1DC5CBF3" w:rsidR="00DA399A" w:rsidRPr="00F54B52" w:rsidRDefault="00DA399A" w:rsidP="00DA399A">
      <w:pPr>
        <w:spacing w:after="0" w:line="240" w:lineRule="auto"/>
        <w:jc w:val="both"/>
        <w:rPr>
          <w:rFonts w:ascii="Arial" w:hAnsi="Arial" w:cs="Arial"/>
        </w:rPr>
      </w:pPr>
      <w:r w:rsidRPr="00F54B52">
        <w:rPr>
          <w:rFonts w:ascii="Arial" w:hAnsi="Arial" w:cs="Arial"/>
        </w:rPr>
        <w:t xml:space="preserve">On donne ci-dessous la copie d’un extrait du </w:t>
      </w:r>
      <w:r w:rsidRPr="008A0674">
        <w:rPr>
          <w:rFonts w:ascii="Arial" w:hAnsi="Arial" w:cs="Arial"/>
          <w:i/>
          <w:iCs/>
        </w:rPr>
        <w:t>Traité complet de la fabrication des savons</w:t>
      </w:r>
      <w:r w:rsidRPr="00F54B52">
        <w:rPr>
          <w:rFonts w:ascii="Arial" w:hAnsi="Arial" w:cs="Arial"/>
        </w:rPr>
        <w:t xml:space="preserve"> et son adaptation.</w:t>
      </w:r>
    </w:p>
    <w:p w14:paraId="5EF3A1EB" w14:textId="77777777" w:rsidR="00B663FF" w:rsidRDefault="00B663FF" w:rsidP="00DA399A">
      <w:pPr>
        <w:spacing w:after="0" w:line="240" w:lineRule="auto"/>
        <w:jc w:val="both"/>
        <w:rPr>
          <w:rFonts w:ascii="Arial" w:hAnsi="Arial" w:cs="Arial"/>
        </w:rPr>
      </w:pPr>
    </w:p>
    <w:p w14:paraId="4679D445" w14:textId="756280C9" w:rsidR="00DA399A" w:rsidRPr="00B663FF" w:rsidRDefault="00DA399A" w:rsidP="00B663FF">
      <w:pPr>
        <w:pStyle w:val="Paragraphedeliste"/>
        <w:numPr>
          <w:ilvl w:val="0"/>
          <w:numId w:val="28"/>
        </w:numPr>
        <w:tabs>
          <w:tab w:val="left" w:pos="284"/>
        </w:tabs>
        <w:spacing w:after="0" w:line="240" w:lineRule="auto"/>
        <w:ind w:left="284" w:hanging="284"/>
        <w:jc w:val="both"/>
        <w:rPr>
          <w:rFonts w:ascii="Arial" w:hAnsi="Arial" w:cs="Arial"/>
        </w:rPr>
      </w:pPr>
      <w:r w:rsidRPr="00B663FF">
        <w:rPr>
          <w:rFonts w:ascii="Arial" w:hAnsi="Arial" w:cs="Arial"/>
        </w:rPr>
        <w:t>Extrait :</w:t>
      </w:r>
    </w:p>
    <w:p w14:paraId="29BB957D" w14:textId="77777777" w:rsidR="00DA399A" w:rsidRPr="00F54B52" w:rsidRDefault="00DA399A" w:rsidP="00DA399A">
      <w:pPr>
        <w:spacing w:after="0" w:line="240" w:lineRule="auto"/>
        <w:jc w:val="both"/>
        <w:rPr>
          <w:rFonts w:ascii="Arial" w:hAnsi="Arial" w:cs="Arial"/>
        </w:rPr>
      </w:pPr>
    </w:p>
    <w:p w14:paraId="0F250763" w14:textId="26682CC6" w:rsidR="00DA399A" w:rsidRPr="00F54B52" w:rsidRDefault="00DA399A" w:rsidP="008A0674">
      <w:pPr>
        <w:spacing w:after="0" w:line="240" w:lineRule="auto"/>
        <w:jc w:val="center"/>
        <w:rPr>
          <w:rFonts w:ascii="Arial" w:hAnsi="Arial" w:cs="Arial"/>
        </w:rPr>
      </w:pPr>
      <w:r w:rsidRPr="00F54B52">
        <w:rPr>
          <w:rFonts w:ascii="Arial" w:hAnsi="Arial" w:cs="Arial"/>
          <w:noProof/>
        </w:rPr>
        <w:drawing>
          <wp:inline distT="0" distB="0" distL="0" distR="0" wp14:anchorId="09774238" wp14:editId="555FFC0C">
            <wp:extent cx="4488268" cy="1754505"/>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7659" cy="1769903"/>
                    </a:xfrm>
                    <a:prstGeom prst="rect">
                      <a:avLst/>
                    </a:prstGeom>
                    <a:noFill/>
                    <a:ln>
                      <a:noFill/>
                    </a:ln>
                  </pic:spPr>
                </pic:pic>
              </a:graphicData>
            </a:graphic>
          </wp:inline>
        </w:drawing>
      </w:r>
    </w:p>
    <w:p w14:paraId="7D6A27F4" w14:textId="77777777" w:rsidR="00DA399A" w:rsidRPr="00F54B52" w:rsidRDefault="00DA399A" w:rsidP="00DA399A">
      <w:pPr>
        <w:spacing w:after="0" w:line="240" w:lineRule="auto"/>
        <w:jc w:val="both"/>
        <w:rPr>
          <w:rFonts w:ascii="Arial" w:hAnsi="Arial" w:cs="Arial"/>
        </w:rPr>
      </w:pPr>
    </w:p>
    <w:p w14:paraId="4AD127B8" w14:textId="2CFAE7FA" w:rsidR="00DA399A" w:rsidRPr="00F54B52" w:rsidRDefault="00DA399A" w:rsidP="00DA399A">
      <w:pPr>
        <w:spacing w:after="0" w:line="240" w:lineRule="auto"/>
        <w:jc w:val="both"/>
        <w:rPr>
          <w:rFonts w:ascii="Arial" w:hAnsi="Arial" w:cs="Arial"/>
        </w:rPr>
      </w:pPr>
      <w:r w:rsidRPr="00F54B52">
        <w:rPr>
          <w:rFonts w:ascii="Arial" w:hAnsi="Arial" w:cs="Arial"/>
        </w:rPr>
        <w:t>Ce «</w:t>
      </w:r>
      <w:r w:rsidR="008A0674">
        <w:rPr>
          <w:rFonts w:ascii="Arial" w:hAnsi="Arial" w:cs="Arial"/>
        </w:rPr>
        <w:t> </w:t>
      </w:r>
      <w:r w:rsidRPr="00F54B52">
        <w:rPr>
          <w:rFonts w:ascii="Arial" w:hAnsi="Arial" w:cs="Arial"/>
        </w:rPr>
        <w:t>savon épuré</w:t>
      </w:r>
      <w:r w:rsidR="008A0674">
        <w:rPr>
          <w:rFonts w:ascii="Arial" w:hAnsi="Arial" w:cs="Arial"/>
        </w:rPr>
        <w:t> </w:t>
      </w:r>
      <w:r w:rsidRPr="00F54B52">
        <w:rPr>
          <w:rFonts w:ascii="Arial" w:hAnsi="Arial" w:cs="Arial"/>
        </w:rPr>
        <w:t>» a pour composition massique</w:t>
      </w:r>
      <w:r w:rsidR="008A0674">
        <w:rPr>
          <w:rFonts w:ascii="Arial" w:hAnsi="Arial" w:cs="Arial"/>
        </w:rPr>
        <w:t> :</w:t>
      </w:r>
    </w:p>
    <w:p w14:paraId="36E45A3E" w14:textId="77777777" w:rsidR="008A0674" w:rsidRDefault="008A0674" w:rsidP="00DA399A">
      <w:pPr>
        <w:spacing w:after="0" w:line="240" w:lineRule="auto"/>
        <w:jc w:val="both"/>
        <w:rPr>
          <w:rFonts w:ascii="Arial" w:hAnsi="Arial" w:cs="Arial"/>
        </w:rPr>
      </w:pPr>
    </w:p>
    <w:tbl>
      <w:tblPr>
        <w:tblStyle w:val="Grilledutableau"/>
        <w:tblW w:w="0" w:type="auto"/>
        <w:tblInd w:w="25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33"/>
        <w:gridCol w:w="2834"/>
      </w:tblGrid>
      <w:tr w:rsidR="008A0674" w14:paraId="739C768E" w14:textId="77777777" w:rsidTr="008A0674">
        <w:tc>
          <w:tcPr>
            <w:tcW w:w="2833" w:type="dxa"/>
            <w:tcBorders>
              <w:top w:val="nil"/>
              <w:left w:val="nil"/>
            </w:tcBorders>
            <w:vAlign w:val="center"/>
          </w:tcPr>
          <w:p w14:paraId="115B76F2" w14:textId="77777777" w:rsidR="008A0674" w:rsidRDefault="008A0674" w:rsidP="008A0674">
            <w:pPr>
              <w:jc w:val="center"/>
              <w:rPr>
                <w:rFonts w:ascii="Arial" w:hAnsi="Arial" w:cs="Arial"/>
              </w:rPr>
            </w:pPr>
          </w:p>
        </w:tc>
        <w:tc>
          <w:tcPr>
            <w:tcW w:w="2834" w:type="dxa"/>
            <w:vAlign w:val="center"/>
          </w:tcPr>
          <w:p w14:paraId="7CEEE38C" w14:textId="4CB6B956" w:rsidR="008A0674" w:rsidRDefault="008A0674" w:rsidP="008A0674">
            <w:pPr>
              <w:jc w:val="center"/>
              <w:rPr>
                <w:rFonts w:ascii="Arial" w:hAnsi="Arial" w:cs="Arial"/>
              </w:rPr>
            </w:pPr>
            <w:r w:rsidRPr="00F54B52">
              <w:rPr>
                <w:rFonts w:ascii="Arial" w:hAnsi="Arial" w:cs="Arial"/>
              </w:rPr>
              <w:t>% massique moyen</w:t>
            </w:r>
          </w:p>
        </w:tc>
      </w:tr>
      <w:tr w:rsidR="008A0674" w14:paraId="48B40BD7" w14:textId="77777777" w:rsidTr="008A0674">
        <w:tc>
          <w:tcPr>
            <w:tcW w:w="2833" w:type="dxa"/>
            <w:vAlign w:val="center"/>
          </w:tcPr>
          <w:p w14:paraId="547D19CC" w14:textId="4AF96275" w:rsidR="008A0674" w:rsidRDefault="008A0674" w:rsidP="008A0674">
            <w:pPr>
              <w:jc w:val="center"/>
              <w:rPr>
                <w:rFonts w:ascii="Arial" w:hAnsi="Arial" w:cs="Arial"/>
              </w:rPr>
            </w:pPr>
            <w:proofErr w:type="gramStart"/>
            <w:r w:rsidRPr="00F54B52">
              <w:rPr>
                <w:rFonts w:ascii="Arial" w:hAnsi="Arial" w:cs="Arial"/>
              </w:rPr>
              <w:t>oléate</w:t>
            </w:r>
            <w:proofErr w:type="gramEnd"/>
            <w:r w:rsidRPr="00F54B52">
              <w:rPr>
                <w:rFonts w:ascii="Arial" w:hAnsi="Arial" w:cs="Arial"/>
              </w:rPr>
              <w:t xml:space="preserve"> de sodium</w:t>
            </w:r>
          </w:p>
        </w:tc>
        <w:tc>
          <w:tcPr>
            <w:tcW w:w="2834" w:type="dxa"/>
            <w:vAlign w:val="center"/>
          </w:tcPr>
          <w:p w14:paraId="5E539CD2" w14:textId="31CAEA12" w:rsidR="008A0674" w:rsidRDefault="008A0674" w:rsidP="008A0674">
            <w:pPr>
              <w:jc w:val="center"/>
              <w:rPr>
                <w:rFonts w:ascii="Arial" w:hAnsi="Arial" w:cs="Arial"/>
              </w:rPr>
            </w:pPr>
            <w:r w:rsidRPr="00F54B52">
              <w:rPr>
                <w:rFonts w:ascii="Arial" w:hAnsi="Arial" w:cs="Arial"/>
              </w:rPr>
              <w:t>50,2</w:t>
            </w:r>
          </w:p>
        </w:tc>
      </w:tr>
      <w:tr w:rsidR="008A0674" w14:paraId="3CFB4F5A" w14:textId="77777777" w:rsidTr="008A0674">
        <w:tc>
          <w:tcPr>
            <w:tcW w:w="2833" w:type="dxa"/>
            <w:vAlign w:val="center"/>
          </w:tcPr>
          <w:p w14:paraId="3E3711FE" w14:textId="3FF91AA2" w:rsidR="008A0674" w:rsidRDefault="008A0674" w:rsidP="008A0674">
            <w:pPr>
              <w:jc w:val="center"/>
              <w:rPr>
                <w:rFonts w:ascii="Arial" w:hAnsi="Arial" w:cs="Arial"/>
              </w:rPr>
            </w:pPr>
            <w:proofErr w:type="gramStart"/>
            <w:r w:rsidRPr="00F54B52">
              <w:rPr>
                <w:rFonts w:ascii="Arial" w:hAnsi="Arial" w:cs="Arial"/>
              </w:rPr>
              <w:t>hydroxyde</w:t>
            </w:r>
            <w:proofErr w:type="gramEnd"/>
            <w:r w:rsidRPr="00F54B52">
              <w:rPr>
                <w:rFonts w:ascii="Arial" w:hAnsi="Arial" w:cs="Arial"/>
              </w:rPr>
              <w:t xml:space="preserve"> de sodium</w:t>
            </w:r>
          </w:p>
        </w:tc>
        <w:tc>
          <w:tcPr>
            <w:tcW w:w="2834" w:type="dxa"/>
            <w:vAlign w:val="center"/>
          </w:tcPr>
          <w:p w14:paraId="61BA23C6" w14:textId="23B00C23" w:rsidR="008A0674" w:rsidRDefault="008A0674" w:rsidP="008A0674">
            <w:pPr>
              <w:jc w:val="center"/>
              <w:rPr>
                <w:rFonts w:ascii="Arial" w:hAnsi="Arial" w:cs="Arial"/>
              </w:rPr>
            </w:pPr>
            <w:r w:rsidRPr="00F54B52">
              <w:rPr>
                <w:rFonts w:ascii="Arial" w:hAnsi="Arial" w:cs="Arial"/>
              </w:rPr>
              <w:t>4,6</w:t>
            </w:r>
          </w:p>
        </w:tc>
      </w:tr>
      <w:tr w:rsidR="008A0674" w14:paraId="52DC05BC" w14:textId="77777777" w:rsidTr="008A0674">
        <w:tc>
          <w:tcPr>
            <w:tcW w:w="2833" w:type="dxa"/>
            <w:vAlign w:val="center"/>
          </w:tcPr>
          <w:p w14:paraId="1020032B" w14:textId="423C8579" w:rsidR="008A0674" w:rsidRDefault="008A0674" w:rsidP="008A0674">
            <w:pPr>
              <w:jc w:val="center"/>
              <w:rPr>
                <w:rFonts w:ascii="Arial" w:hAnsi="Arial" w:cs="Arial"/>
              </w:rPr>
            </w:pPr>
            <w:proofErr w:type="gramStart"/>
            <w:r w:rsidRPr="00F54B52">
              <w:rPr>
                <w:rFonts w:ascii="Arial" w:hAnsi="Arial" w:cs="Arial"/>
              </w:rPr>
              <w:t>eau</w:t>
            </w:r>
            <w:proofErr w:type="gramEnd"/>
          </w:p>
        </w:tc>
        <w:tc>
          <w:tcPr>
            <w:tcW w:w="2834" w:type="dxa"/>
            <w:vAlign w:val="center"/>
          </w:tcPr>
          <w:p w14:paraId="3726496F" w14:textId="57FC872B" w:rsidR="008A0674" w:rsidRDefault="008A0674" w:rsidP="008A0674">
            <w:pPr>
              <w:jc w:val="center"/>
              <w:rPr>
                <w:rFonts w:ascii="Arial" w:hAnsi="Arial" w:cs="Arial"/>
              </w:rPr>
            </w:pPr>
            <w:r w:rsidRPr="00F54B52">
              <w:rPr>
                <w:rFonts w:ascii="Arial" w:hAnsi="Arial" w:cs="Arial"/>
              </w:rPr>
              <w:t>45,2</w:t>
            </w:r>
          </w:p>
        </w:tc>
      </w:tr>
      <w:tr w:rsidR="008A0674" w14:paraId="0C2F2DCB" w14:textId="77777777" w:rsidTr="008A0674">
        <w:tc>
          <w:tcPr>
            <w:tcW w:w="2833" w:type="dxa"/>
            <w:vAlign w:val="center"/>
          </w:tcPr>
          <w:p w14:paraId="5DD4D20A" w14:textId="16AA4ECC" w:rsidR="008A0674" w:rsidRDefault="008A0674" w:rsidP="008A0674">
            <w:pPr>
              <w:jc w:val="center"/>
              <w:rPr>
                <w:rFonts w:ascii="Arial" w:hAnsi="Arial" w:cs="Arial"/>
              </w:rPr>
            </w:pPr>
            <w:proofErr w:type="gramStart"/>
            <w:r w:rsidRPr="00F54B52">
              <w:rPr>
                <w:rFonts w:ascii="Arial" w:hAnsi="Arial" w:cs="Arial"/>
              </w:rPr>
              <w:t>total</w:t>
            </w:r>
            <w:proofErr w:type="gramEnd"/>
          </w:p>
        </w:tc>
        <w:tc>
          <w:tcPr>
            <w:tcW w:w="2834" w:type="dxa"/>
            <w:vAlign w:val="center"/>
          </w:tcPr>
          <w:p w14:paraId="488AB42E" w14:textId="0DAA4602" w:rsidR="008A0674" w:rsidRDefault="008A0674" w:rsidP="008A0674">
            <w:pPr>
              <w:jc w:val="center"/>
              <w:rPr>
                <w:rFonts w:ascii="Arial" w:hAnsi="Arial" w:cs="Arial"/>
              </w:rPr>
            </w:pPr>
            <w:r w:rsidRPr="00F54B52">
              <w:rPr>
                <w:rFonts w:ascii="Arial" w:hAnsi="Arial" w:cs="Arial"/>
              </w:rPr>
              <w:t>100,0</w:t>
            </w:r>
          </w:p>
        </w:tc>
      </w:tr>
    </w:tbl>
    <w:p w14:paraId="5B465053" w14:textId="487A0F50" w:rsidR="00DA399A" w:rsidRPr="00F54B52" w:rsidRDefault="00DA399A" w:rsidP="00DA399A">
      <w:pPr>
        <w:spacing w:after="0" w:line="240" w:lineRule="auto"/>
        <w:jc w:val="both"/>
        <w:rPr>
          <w:rFonts w:ascii="Arial" w:hAnsi="Arial" w:cs="Arial"/>
        </w:rPr>
      </w:pPr>
    </w:p>
    <w:p w14:paraId="47D33055" w14:textId="77777777" w:rsidR="008A0674" w:rsidRDefault="008A0674" w:rsidP="00DA399A">
      <w:pPr>
        <w:spacing w:after="0" w:line="240" w:lineRule="auto"/>
        <w:jc w:val="both"/>
        <w:rPr>
          <w:rFonts w:ascii="Arial" w:hAnsi="Arial" w:cs="Arial"/>
        </w:rPr>
      </w:pPr>
    </w:p>
    <w:p w14:paraId="7BECA3DC" w14:textId="1CBA1DD5" w:rsidR="00DA399A" w:rsidRPr="00F54B52" w:rsidRDefault="00DA399A" w:rsidP="008A0674">
      <w:pPr>
        <w:tabs>
          <w:tab w:val="left" w:pos="567"/>
        </w:tabs>
        <w:spacing w:after="0" w:line="240" w:lineRule="auto"/>
        <w:ind w:left="567" w:hanging="567"/>
        <w:jc w:val="both"/>
        <w:rPr>
          <w:rFonts w:ascii="Arial" w:hAnsi="Arial" w:cs="Arial"/>
        </w:rPr>
      </w:pPr>
      <w:r w:rsidRPr="008A0674">
        <w:rPr>
          <w:rFonts w:ascii="Arial" w:hAnsi="Arial" w:cs="Arial"/>
          <w:b/>
          <w:bCs/>
        </w:rPr>
        <w:t>Q10.</w:t>
      </w:r>
      <w:r w:rsidR="008A0674">
        <w:rPr>
          <w:rFonts w:ascii="Arial" w:hAnsi="Arial" w:cs="Arial"/>
        </w:rPr>
        <w:tab/>
      </w:r>
      <w:r w:rsidRPr="00F54B52">
        <w:rPr>
          <w:rFonts w:ascii="Arial" w:hAnsi="Arial" w:cs="Arial"/>
        </w:rPr>
        <w:t>Après avoir calculé la masse d’oléate de sodium présente dans le «</w:t>
      </w:r>
      <w:r w:rsidR="008A0674">
        <w:rPr>
          <w:rFonts w:ascii="Arial" w:hAnsi="Arial" w:cs="Arial"/>
        </w:rPr>
        <w:t> </w:t>
      </w:r>
      <w:r w:rsidRPr="00F54B52">
        <w:rPr>
          <w:rFonts w:ascii="Arial" w:hAnsi="Arial" w:cs="Arial"/>
        </w:rPr>
        <w:t>savon épuré</w:t>
      </w:r>
      <w:r w:rsidR="008A0674">
        <w:rPr>
          <w:rFonts w:ascii="Arial" w:hAnsi="Arial" w:cs="Arial"/>
        </w:rPr>
        <w:t> </w:t>
      </w:r>
      <w:r w:rsidRPr="00F54B52">
        <w:rPr>
          <w:rFonts w:ascii="Arial" w:hAnsi="Arial" w:cs="Arial"/>
        </w:rPr>
        <w:t>», déterminer le</w:t>
      </w:r>
      <w:r w:rsidR="008A0674">
        <w:rPr>
          <w:rFonts w:ascii="Arial" w:hAnsi="Arial" w:cs="Arial"/>
        </w:rPr>
        <w:t xml:space="preserve"> </w:t>
      </w:r>
      <w:r w:rsidRPr="00F54B52">
        <w:rPr>
          <w:rFonts w:ascii="Arial" w:hAnsi="Arial" w:cs="Arial"/>
        </w:rPr>
        <w:t>rendement maximal de la fabrication du savon obtenu par le procédé artisanal.</w:t>
      </w:r>
    </w:p>
    <w:p w14:paraId="51E45458" w14:textId="77777777" w:rsidR="008A0674" w:rsidRDefault="008A0674" w:rsidP="00DA399A">
      <w:pPr>
        <w:spacing w:after="0" w:line="240" w:lineRule="auto"/>
        <w:jc w:val="both"/>
        <w:rPr>
          <w:rFonts w:ascii="Arial" w:hAnsi="Arial" w:cs="Arial"/>
        </w:rPr>
      </w:pPr>
    </w:p>
    <w:p w14:paraId="299D4F82" w14:textId="5F1263E6" w:rsidR="00B9156F" w:rsidRPr="008A0674" w:rsidRDefault="00DA399A" w:rsidP="00DA399A">
      <w:pPr>
        <w:spacing w:after="0" w:line="240" w:lineRule="auto"/>
        <w:jc w:val="both"/>
        <w:rPr>
          <w:rFonts w:ascii="Arial" w:hAnsi="Arial" w:cs="Arial"/>
          <w:i/>
          <w:iCs/>
          <w:spacing w:val="-2"/>
        </w:rPr>
      </w:pPr>
      <w:r w:rsidRPr="008A0674">
        <w:rPr>
          <w:rFonts w:ascii="Arial" w:hAnsi="Arial" w:cs="Arial"/>
          <w:i/>
          <w:iCs/>
          <w:spacing w:val="-2"/>
        </w:rPr>
        <w:t>Le candidat est invité à prendre des initiatives et à présenter la démarche suivie, même si elle n’a pas abouti.</w:t>
      </w:r>
      <w:r w:rsidR="008A0674" w:rsidRPr="008A0674">
        <w:rPr>
          <w:rFonts w:ascii="Arial" w:hAnsi="Arial" w:cs="Arial"/>
          <w:i/>
          <w:iCs/>
          <w:spacing w:val="-2"/>
        </w:rPr>
        <w:t xml:space="preserve"> </w:t>
      </w:r>
      <w:r w:rsidRPr="008A0674">
        <w:rPr>
          <w:rFonts w:ascii="Arial" w:hAnsi="Arial" w:cs="Arial"/>
          <w:i/>
          <w:iCs/>
          <w:spacing w:val="-2"/>
        </w:rPr>
        <w:t>La démarche est évaluée et doit être correctement présentée.</w:t>
      </w:r>
    </w:p>
    <w:p w14:paraId="7F06969A" w14:textId="77777777" w:rsidR="00B9156F" w:rsidRPr="00F54B52" w:rsidRDefault="00B9156F" w:rsidP="00B9156F">
      <w:pPr>
        <w:spacing w:after="0" w:line="240" w:lineRule="auto"/>
        <w:jc w:val="both"/>
        <w:rPr>
          <w:rFonts w:ascii="Arial" w:hAnsi="Arial" w:cs="Arial"/>
        </w:rPr>
      </w:pPr>
    </w:p>
    <w:sectPr w:rsidR="00B9156F" w:rsidRPr="00F54B52"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24593"/>
    <w:multiLevelType w:val="hybridMultilevel"/>
    <w:tmpl w:val="A19A03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C93A7B"/>
    <w:multiLevelType w:val="hybridMultilevel"/>
    <w:tmpl w:val="6FEAED1C"/>
    <w:lvl w:ilvl="0" w:tplc="040C000B">
      <w:start w:val="1"/>
      <w:numFmt w:val="bullet"/>
      <w:lvlText w:val=""/>
      <w:lvlJc w:val="left"/>
      <w:pPr>
        <w:ind w:left="720" w:hanging="360"/>
      </w:pPr>
      <w:rPr>
        <w:rFonts w:ascii="Wingdings" w:hAnsi="Wingdings" w:hint="default"/>
      </w:rPr>
    </w:lvl>
    <w:lvl w:ilvl="1" w:tplc="AA7E4E8A">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BD7D12"/>
    <w:multiLevelType w:val="hybridMultilevel"/>
    <w:tmpl w:val="D264F97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842890"/>
    <w:multiLevelType w:val="hybridMultilevel"/>
    <w:tmpl w:val="B7B880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851D69"/>
    <w:multiLevelType w:val="hybridMultilevel"/>
    <w:tmpl w:val="0D6401E8"/>
    <w:lvl w:ilvl="0" w:tplc="FBB86A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437ECC"/>
    <w:multiLevelType w:val="multilevel"/>
    <w:tmpl w:val="E61EA12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5D5AED"/>
    <w:multiLevelType w:val="hybridMultilevel"/>
    <w:tmpl w:val="F6AA6BFE"/>
    <w:lvl w:ilvl="0" w:tplc="C19E57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78019A"/>
    <w:multiLevelType w:val="hybridMultilevel"/>
    <w:tmpl w:val="3B582E0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0D1940"/>
    <w:multiLevelType w:val="hybridMultilevel"/>
    <w:tmpl w:val="E09445FC"/>
    <w:lvl w:ilvl="0" w:tplc="92D225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074A00"/>
    <w:multiLevelType w:val="hybridMultilevel"/>
    <w:tmpl w:val="8E105ED4"/>
    <w:lvl w:ilvl="0" w:tplc="4D1454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826FD6"/>
    <w:multiLevelType w:val="hybridMultilevel"/>
    <w:tmpl w:val="85B87D06"/>
    <w:lvl w:ilvl="0" w:tplc="1F7C36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015D39"/>
    <w:multiLevelType w:val="hybridMultilevel"/>
    <w:tmpl w:val="18B688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26"/>
  </w:num>
  <w:num w:numId="2" w16cid:durableId="147598150">
    <w:abstractNumId w:val="27"/>
  </w:num>
  <w:num w:numId="3" w16cid:durableId="1043673191">
    <w:abstractNumId w:val="5"/>
  </w:num>
  <w:num w:numId="4" w16cid:durableId="1554997379">
    <w:abstractNumId w:val="13"/>
  </w:num>
  <w:num w:numId="5" w16cid:durableId="1774783699">
    <w:abstractNumId w:val="19"/>
  </w:num>
  <w:num w:numId="6" w16cid:durableId="1209610847">
    <w:abstractNumId w:val="7"/>
  </w:num>
  <w:num w:numId="7" w16cid:durableId="1069693144">
    <w:abstractNumId w:val="25"/>
  </w:num>
  <w:num w:numId="8" w16cid:durableId="2051689700">
    <w:abstractNumId w:val="23"/>
  </w:num>
  <w:num w:numId="9" w16cid:durableId="216749121">
    <w:abstractNumId w:val="2"/>
  </w:num>
  <w:num w:numId="10" w16cid:durableId="745884451">
    <w:abstractNumId w:val="22"/>
  </w:num>
  <w:num w:numId="11" w16cid:durableId="1463964506">
    <w:abstractNumId w:val="28"/>
  </w:num>
  <w:num w:numId="12" w16cid:durableId="1430850099">
    <w:abstractNumId w:val="3"/>
  </w:num>
  <w:num w:numId="13" w16cid:durableId="220554775">
    <w:abstractNumId w:val="18"/>
  </w:num>
  <w:num w:numId="14" w16cid:durableId="363479020">
    <w:abstractNumId w:val="1"/>
  </w:num>
  <w:num w:numId="15" w16cid:durableId="2015108701">
    <w:abstractNumId w:val="8"/>
  </w:num>
  <w:num w:numId="16" w16cid:durableId="166361213">
    <w:abstractNumId w:val="9"/>
  </w:num>
  <w:num w:numId="17" w16cid:durableId="1337030129">
    <w:abstractNumId w:val="6"/>
  </w:num>
  <w:num w:numId="18" w16cid:durableId="1288773730">
    <w:abstractNumId w:val="21"/>
  </w:num>
  <w:num w:numId="19" w16cid:durableId="1110125383">
    <w:abstractNumId w:val="12"/>
  </w:num>
  <w:num w:numId="20" w16cid:durableId="1853911922">
    <w:abstractNumId w:val="16"/>
  </w:num>
  <w:num w:numId="21" w16cid:durableId="632447056">
    <w:abstractNumId w:val="10"/>
  </w:num>
  <w:num w:numId="22" w16cid:durableId="343560615">
    <w:abstractNumId w:val="17"/>
  </w:num>
  <w:num w:numId="23" w16cid:durableId="717507297">
    <w:abstractNumId w:val="14"/>
  </w:num>
  <w:num w:numId="24" w16cid:durableId="1468930140">
    <w:abstractNumId w:val="20"/>
  </w:num>
  <w:num w:numId="25" w16cid:durableId="1853181516">
    <w:abstractNumId w:val="4"/>
  </w:num>
  <w:num w:numId="26" w16cid:durableId="864906973">
    <w:abstractNumId w:val="15"/>
  </w:num>
  <w:num w:numId="27" w16cid:durableId="1895696059">
    <w:abstractNumId w:val="24"/>
  </w:num>
  <w:num w:numId="28" w16cid:durableId="1391687828">
    <w:abstractNumId w:val="11"/>
  </w:num>
  <w:num w:numId="29" w16cid:durableId="1501652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36B43"/>
    <w:rsid w:val="00040449"/>
    <w:rsid w:val="00093947"/>
    <w:rsid w:val="000B7173"/>
    <w:rsid w:val="000D540A"/>
    <w:rsid w:val="000D6EDC"/>
    <w:rsid w:val="000F5AD2"/>
    <w:rsid w:val="00107A43"/>
    <w:rsid w:val="0014090A"/>
    <w:rsid w:val="00142394"/>
    <w:rsid w:val="0014723E"/>
    <w:rsid w:val="001A533E"/>
    <w:rsid w:val="001E7045"/>
    <w:rsid w:val="00215467"/>
    <w:rsid w:val="00222ABC"/>
    <w:rsid w:val="00233A95"/>
    <w:rsid w:val="00234D33"/>
    <w:rsid w:val="0026164E"/>
    <w:rsid w:val="002C27A0"/>
    <w:rsid w:val="002F5D46"/>
    <w:rsid w:val="00371118"/>
    <w:rsid w:val="00387A6D"/>
    <w:rsid w:val="003D41E2"/>
    <w:rsid w:val="00434711"/>
    <w:rsid w:val="0045530D"/>
    <w:rsid w:val="004640CD"/>
    <w:rsid w:val="00464EFD"/>
    <w:rsid w:val="004C71DB"/>
    <w:rsid w:val="00524858"/>
    <w:rsid w:val="00557D7D"/>
    <w:rsid w:val="0056432E"/>
    <w:rsid w:val="005847DE"/>
    <w:rsid w:val="0058719A"/>
    <w:rsid w:val="005B0CDD"/>
    <w:rsid w:val="005D08A3"/>
    <w:rsid w:val="005F3CE7"/>
    <w:rsid w:val="00603DC8"/>
    <w:rsid w:val="00603F7B"/>
    <w:rsid w:val="00625CB6"/>
    <w:rsid w:val="00675FAC"/>
    <w:rsid w:val="006D1F2D"/>
    <w:rsid w:val="006D218C"/>
    <w:rsid w:val="0070438F"/>
    <w:rsid w:val="00733946"/>
    <w:rsid w:val="00772069"/>
    <w:rsid w:val="00810E4F"/>
    <w:rsid w:val="0087301A"/>
    <w:rsid w:val="008A0674"/>
    <w:rsid w:val="008F1CC1"/>
    <w:rsid w:val="009271C2"/>
    <w:rsid w:val="00974E49"/>
    <w:rsid w:val="009A2769"/>
    <w:rsid w:val="009B253E"/>
    <w:rsid w:val="009C65EF"/>
    <w:rsid w:val="009E181B"/>
    <w:rsid w:val="009E4964"/>
    <w:rsid w:val="00A86B99"/>
    <w:rsid w:val="00AC0230"/>
    <w:rsid w:val="00AE2D23"/>
    <w:rsid w:val="00B01CD2"/>
    <w:rsid w:val="00B158CD"/>
    <w:rsid w:val="00B46774"/>
    <w:rsid w:val="00B473C0"/>
    <w:rsid w:val="00B663FF"/>
    <w:rsid w:val="00B9156F"/>
    <w:rsid w:val="00B94D8A"/>
    <w:rsid w:val="00BE35F9"/>
    <w:rsid w:val="00BE7836"/>
    <w:rsid w:val="00C045DE"/>
    <w:rsid w:val="00C16116"/>
    <w:rsid w:val="00C507C4"/>
    <w:rsid w:val="00C73CD9"/>
    <w:rsid w:val="00C91DB0"/>
    <w:rsid w:val="00CD6C6A"/>
    <w:rsid w:val="00DA2CE7"/>
    <w:rsid w:val="00DA399A"/>
    <w:rsid w:val="00E01A61"/>
    <w:rsid w:val="00E01EB7"/>
    <w:rsid w:val="00E1509D"/>
    <w:rsid w:val="00EB63DF"/>
    <w:rsid w:val="00F0583B"/>
    <w:rsid w:val="00F15380"/>
    <w:rsid w:val="00F3482C"/>
    <w:rsid w:val="00F54B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hyperlink" Target="https://labolycee.org" TargetMode="Externa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4367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2</cp:revision>
  <dcterms:created xsi:type="dcterms:W3CDTF">2024-04-20T09:16:00Z</dcterms:created>
  <dcterms:modified xsi:type="dcterms:W3CDTF">2024-04-20T09:16:00Z</dcterms:modified>
</cp:coreProperties>
</file>