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77DF7D4" w:rsidR="00040449" w:rsidRDefault="001E7045" w:rsidP="00C1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A240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D6C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C1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EB25670" w:rsidR="00EB63DF" w:rsidRPr="00EB63DF" w:rsidRDefault="00EB63DF" w:rsidP="00C1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A2404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723E9C4" w:rsidR="00EB63DF" w:rsidRPr="002C27A0" w:rsidRDefault="00BA2404" w:rsidP="00C1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Synthèse de l’arôme de banane</w:t>
      </w:r>
    </w:p>
    <w:p w14:paraId="5EF8DA73" w14:textId="4B7412E2" w:rsidR="00EB63DF" w:rsidRPr="00F048CC" w:rsidRDefault="00EB63DF" w:rsidP="00C17CE7">
      <w:pPr>
        <w:spacing w:after="0" w:line="240" w:lineRule="auto"/>
        <w:jc w:val="both"/>
        <w:rPr>
          <w:rFonts w:ascii="Arial" w:hAnsi="Arial" w:cs="Arial"/>
        </w:rPr>
      </w:pPr>
    </w:p>
    <w:p w14:paraId="1380F730" w14:textId="3F053CEC" w:rsidR="001C238A" w:rsidRPr="00F048CC" w:rsidRDefault="00F048CC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7CC44BC" wp14:editId="3579DCCE">
            <wp:simplePos x="0" y="0"/>
            <wp:positionH relativeFrom="margin">
              <wp:posOffset>5635625</wp:posOffset>
            </wp:positionH>
            <wp:positionV relativeFrom="paragraph">
              <wp:posOffset>18415</wp:posOffset>
            </wp:positionV>
            <wp:extent cx="470535" cy="145415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E8F7" w14:textId="56ED0F36" w:rsidR="00BA2404" w:rsidRPr="00F048CC" w:rsidRDefault="00BA2404" w:rsidP="00C17CE7">
      <w:pPr>
        <w:spacing w:after="0" w:line="240" w:lineRule="auto"/>
        <w:ind w:right="1982"/>
        <w:jc w:val="both"/>
        <w:rPr>
          <w:rFonts w:ascii="Arial" w:hAnsi="Arial" w:cs="Arial"/>
          <w:spacing w:val="-2"/>
        </w:rPr>
      </w:pPr>
      <w:r w:rsidRPr="00F048CC">
        <w:rPr>
          <w:rFonts w:ascii="Arial" w:hAnsi="Arial" w:cs="Arial"/>
          <w:spacing w:val="-2"/>
        </w:rPr>
        <w:t>L’arôme de banane est un mélange complexe de plusieurs espèces chimiques</w:t>
      </w:r>
      <w:r w:rsidR="00F048CC" w:rsidRPr="00F048CC">
        <w:rPr>
          <w:rFonts w:ascii="Arial" w:hAnsi="Arial" w:cs="Arial"/>
          <w:spacing w:val="-2"/>
        </w:rPr>
        <w:t xml:space="preserve"> </w:t>
      </w:r>
      <w:r w:rsidRPr="00F048CC">
        <w:rPr>
          <w:rFonts w:ascii="Arial" w:hAnsi="Arial" w:cs="Arial"/>
          <w:spacing w:val="-2"/>
        </w:rPr>
        <w:t>naturelles. Le principal constituant de cet arôme est l’éthanoate de 3-méthylbutyle aussi</w:t>
      </w:r>
      <w:r w:rsidR="00F048CC" w:rsidRPr="00F048CC">
        <w:rPr>
          <w:rFonts w:ascii="Arial" w:hAnsi="Arial" w:cs="Arial"/>
          <w:spacing w:val="-2"/>
        </w:rPr>
        <w:t xml:space="preserve"> </w:t>
      </w:r>
      <w:r w:rsidRPr="00F048CC">
        <w:rPr>
          <w:rFonts w:ascii="Arial" w:hAnsi="Arial" w:cs="Arial"/>
          <w:spacing w:val="-2"/>
        </w:rPr>
        <w:t>appelé acétate d’isoamyle</w:t>
      </w:r>
      <w:r w:rsidR="00F048CC" w:rsidRPr="00F048CC">
        <w:rPr>
          <w:rFonts w:ascii="Arial" w:hAnsi="Arial" w:cs="Arial"/>
          <w:spacing w:val="-2"/>
        </w:rPr>
        <w:t> :</w:t>
      </w:r>
      <w:r w:rsidRPr="00F048CC">
        <w:rPr>
          <w:rFonts w:ascii="Arial" w:hAnsi="Arial" w:cs="Arial"/>
          <w:spacing w:val="-2"/>
        </w:rPr>
        <w:t xml:space="preserve"> il est utilisé en parfumerie et comme additif alimentaire.</w:t>
      </w:r>
    </w:p>
    <w:p w14:paraId="0A129041" w14:textId="77777777" w:rsidR="00F048CC" w:rsidRPr="00F048CC" w:rsidRDefault="00F048CC" w:rsidP="00C17CE7">
      <w:pPr>
        <w:spacing w:after="0" w:line="240" w:lineRule="auto"/>
        <w:ind w:right="1982"/>
        <w:jc w:val="both"/>
        <w:rPr>
          <w:rFonts w:ascii="Arial" w:hAnsi="Arial" w:cs="Arial"/>
        </w:rPr>
      </w:pPr>
    </w:p>
    <w:p w14:paraId="36866276" w14:textId="250F0871" w:rsidR="00BA2404" w:rsidRDefault="00BA2404" w:rsidP="00C17CE7">
      <w:pPr>
        <w:spacing w:after="0" w:line="240" w:lineRule="auto"/>
        <w:ind w:right="1982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L’objectif de cet exercice est de comparer plusieurs protocoles permettant de</w:t>
      </w:r>
      <w:r w:rsidR="00F048CC" w:rsidRPr="00F048CC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synthétiser au laboratoire cette espèce chimique, afin de déterminer quelle synthèse</w:t>
      </w:r>
      <w:r w:rsidR="00F048CC" w:rsidRPr="00F048CC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est la plus éco-responsable.</w:t>
      </w:r>
    </w:p>
    <w:p w14:paraId="54D67CD5" w14:textId="77777777" w:rsidR="00F048CC" w:rsidRDefault="00F048CC" w:rsidP="00C17CE7">
      <w:pPr>
        <w:spacing w:after="0" w:line="240" w:lineRule="auto"/>
        <w:ind w:right="1982"/>
        <w:jc w:val="both"/>
        <w:rPr>
          <w:rFonts w:ascii="Arial" w:hAnsi="Arial" w:cs="Arial"/>
        </w:rPr>
      </w:pPr>
    </w:p>
    <w:p w14:paraId="1D139A48" w14:textId="77777777" w:rsidR="00F048CC" w:rsidRPr="00F048CC" w:rsidRDefault="00F048CC" w:rsidP="00C17CE7">
      <w:pPr>
        <w:spacing w:after="0" w:line="240" w:lineRule="auto"/>
        <w:ind w:right="1982"/>
        <w:jc w:val="both"/>
        <w:rPr>
          <w:rFonts w:ascii="Arial" w:hAnsi="Arial" w:cs="Arial"/>
        </w:rPr>
      </w:pPr>
    </w:p>
    <w:p w14:paraId="10D16DE3" w14:textId="77777777" w:rsidR="00F048CC" w:rsidRPr="00F048CC" w:rsidRDefault="00F048CC" w:rsidP="00C17CE7">
      <w:pPr>
        <w:spacing w:after="0" w:line="240" w:lineRule="auto"/>
        <w:ind w:left="7513" w:right="-2"/>
        <w:jc w:val="center"/>
        <w:rPr>
          <w:rFonts w:ascii="Arial" w:hAnsi="Arial" w:cs="Arial"/>
          <w:i/>
          <w:iCs/>
        </w:rPr>
      </w:pPr>
      <w:r w:rsidRPr="00F048CC">
        <w:rPr>
          <w:rFonts w:ascii="Arial" w:hAnsi="Arial" w:cs="Arial"/>
          <w:i/>
          <w:iCs/>
        </w:rPr>
        <w:t>Flacon d’arôme alimentaire</w:t>
      </w:r>
    </w:p>
    <w:p w14:paraId="0FD093CD" w14:textId="4D716000" w:rsidR="00F048CC" w:rsidRPr="00F048CC" w:rsidRDefault="00F048CC" w:rsidP="00C17CE7">
      <w:pPr>
        <w:spacing w:after="0" w:line="240" w:lineRule="auto"/>
        <w:ind w:left="7513" w:right="-2"/>
        <w:jc w:val="center"/>
        <w:rPr>
          <w:rFonts w:ascii="Arial" w:hAnsi="Arial" w:cs="Arial"/>
          <w:i/>
          <w:iCs/>
        </w:rPr>
      </w:pPr>
      <w:proofErr w:type="gramStart"/>
      <w:r w:rsidRPr="00F048CC">
        <w:rPr>
          <w:rFonts w:ascii="Arial" w:hAnsi="Arial" w:cs="Arial"/>
          <w:i/>
          <w:iCs/>
        </w:rPr>
        <w:t>banane</w:t>
      </w:r>
      <w:proofErr w:type="gramEnd"/>
      <w:r w:rsidRPr="00F048CC">
        <w:rPr>
          <w:rFonts w:ascii="Arial" w:hAnsi="Arial" w:cs="Arial"/>
          <w:i/>
          <w:iCs/>
        </w:rPr>
        <w:t xml:space="preserve"> commercial</w:t>
      </w:r>
    </w:p>
    <w:p w14:paraId="7276E227" w14:textId="77777777" w:rsidR="00F048CC" w:rsidRPr="00F048CC" w:rsidRDefault="00F048CC" w:rsidP="00C17CE7">
      <w:pPr>
        <w:spacing w:after="0" w:line="240" w:lineRule="auto"/>
        <w:jc w:val="both"/>
        <w:rPr>
          <w:rFonts w:ascii="Arial" w:hAnsi="Arial" w:cs="Arial"/>
        </w:rPr>
      </w:pPr>
    </w:p>
    <w:p w14:paraId="5C7C2075" w14:textId="04AE243B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L’équation de la réaction de synthèse de l’éthanoate de 3-méthylbutyle est la suivante</w:t>
      </w:r>
      <w:r w:rsidR="009967C5" w:rsidRPr="00F048CC">
        <w:rPr>
          <w:rFonts w:ascii="Arial" w:hAnsi="Arial" w:cs="Arial"/>
        </w:rPr>
        <w:t> :</w:t>
      </w:r>
    </w:p>
    <w:p w14:paraId="3E31BDCA" w14:textId="5612FD5E" w:rsidR="009967C5" w:rsidRPr="00F048CC" w:rsidRDefault="009967C5" w:rsidP="00C17CE7">
      <w:pPr>
        <w:spacing w:after="0" w:line="240" w:lineRule="auto"/>
        <w:jc w:val="center"/>
        <w:rPr>
          <w:rFonts w:ascii="Arial" w:hAnsi="Arial" w:cs="Arial"/>
        </w:rPr>
      </w:pPr>
      <w:r w:rsidRPr="00F048CC">
        <w:rPr>
          <w:rFonts w:ascii="Arial" w:hAnsi="Arial" w:cs="Arial"/>
          <w:noProof/>
        </w:rPr>
        <w:drawing>
          <wp:inline distT="0" distB="0" distL="0" distR="0" wp14:anchorId="7BDD9353" wp14:editId="7E1DC2CB">
            <wp:extent cx="6140450" cy="692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891" cy="6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7A1B" w14:textId="77777777" w:rsidR="009967C5" w:rsidRPr="00F048CC" w:rsidRDefault="009967C5" w:rsidP="00C17CE7">
      <w:pPr>
        <w:spacing w:after="0" w:line="240" w:lineRule="auto"/>
        <w:jc w:val="both"/>
        <w:rPr>
          <w:rFonts w:ascii="Arial" w:hAnsi="Arial" w:cs="Arial"/>
        </w:rPr>
      </w:pPr>
    </w:p>
    <w:p w14:paraId="17FB65F6" w14:textId="159C1FCD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48CC">
        <w:rPr>
          <w:rFonts w:ascii="Arial" w:hAnsi="Arial" w:cs="Arial"/>
          <w:b/>
          <w:bCs/>
        </w:rPr>
        <w:t>Données</w:t>
      </w:r>
      <w:r w:rsidR="009967C5" w:rsidRPr="00F048CC">
        <w:rPr>
          <w:rFonts w:ascii="Arial" w:hAnsi="Arial" w:cs="Arial"/>
          <w:b/>
          <w:bCs/>
        </w:rPr>
        <w:t> :</w:t>
      </w:r>
    </w:p>
    <w:p w14:paraId="2283401F" w14:textId="78CB9FC0" w:rsidR="00BA2404" w:rsidRPr="00F048CC" w:rsidRDefault="00BA2404" w:rsidP="00C17CE7">
      <w:pPr>
        <w:pStyle w:val="Paragraphedeliste"/>
        <w:numPr>
          <w:ilvl w:val="0"/>
          <w:numId w:val="22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F048CC">
        <w:rPr>
          <w:rFonts w:ascii="Arial" w:hAnsi="Arial" w:cs="Arial"/>
        </w:rPr>
        <w:t>table</w:t>
      </w:r>
      <w:proofErr w:type="gramEnd"/>
      <w:r w:rsidRPr="00F048CC">
        <w:rPr>
          <w:rFonts w:ascii="Arial" w:hAnsi="Arial" w:cs="Arial"/>
        </w:rPr>
        <w:t xml:space="preserve"> de données de spectroscopie infrarouge</w:t>
      </w:r>
      <w:r w:rsidR="009967C5" w:rsidRPr="00F048CC">
        <w:rPr>
          <w:rFonts w:ascii="Arial" w:hAnsi="Arial" w:cs="Arial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1592"/>
        <w:gridCol w:w="1592"/>
        <w:gridCol w:w="1592"/>
        <w:gridCol w:w="1592"/>
      </w:tblGrid>
      <w:tr w:rsidR="00F048CC" w14:paraId="3C7A8CBE" w14:textId="77777777" w:rsidTr="00C17CE7">
        <w:trPr>
          <w:trHeight w:val="454"/>
        </w:trPr>
        <w:tc>
          <w:tcPr>
            <w:tcW w:w="3820" w:type="dxa"/>
            <w:vAlign w:val="center"/>
          </w:tcPr>
          <w:p w14:paraId="209A08DB" w14:textId="63940B6F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Liaison</w:t>
            </w:r>
          </w:p>
        </w:tc>
        <w:tc>
          <w:tcPr>
            <w:tcW w:w="1592" w:type="dxa"/>
            <w:vAlign w:val="center"/>
          </w:tcPr>
          <w:p w14:paraId="50526F95" w14:textId="2C668578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 xml:space="preserve">O–H </w:t>
            </w:r>
          </w:p>
        </w:tc>
        <w:tc>
          <w:tcPr>
            <w:tcW w:w="1592" w:type="dxa"/>
            <w:vAlign w:val="center"/>
          </w:tcPr>
          <w:p w14:paraId="058F7F8C" w14:textId="4FDE4EDF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C–H</w:t>
            </w:r>
          </w:p>
        </w:tc>
        <w:tc>
          <w:tcPr>
            <w:tcW w:w="1592" w:type="dxa"/>
            <w:vAlign w:val="center"/>
          </w:tcPr>
          <w:p w14:paraId="6D1CDE38" w14:textId="0CA26590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C=C</w:t>
            </w:r>
          </w:p>
        </w:tc>
        <w:tc>
          <w:tcPr>
            <w:tcW w:w="1592" w:type="dxa"/>
            <w:vAlign w:val="center"/>
          </w:tcPr>
          <w:p w14:paraId="07860BAC" w14:textId="741B1EDD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C=O</w:t>
            </w:r>
          </w:p>
        </w:tc>
      </w:tr>
      <w:tr w:rsidR="00F048CC" w14:paraId="6344E10B" w14:textId="77777777" w:rsidTr="00C17CE7">
        <w:trPr>
          <w:trHeight w:val="454"/>
        </w:trPr>
        <w:tc>
          <w:tcPr>
            <w:tcW w:w="3820" w:type="dxa"/>
            <w:vAlign w:val="center"/>
          </w:tcPr>
          <w:p w14:paraId="447624E6" w14:textId="3AA67D72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Nombre d’onde (en cm</w:t>
            </w:r>
            <w:r w:rsidRPr="00C17CE7">
              <w:rPr>
                <w:rFonts w:ascii="Arial" w:hAnsi="Arial" w:cs="Arial"/>
                <w:vertAlign w:val="superscript"/>
              </w:rPr>
              <w:t>–1</w:t>
            </w:r>
            <w:r w:rsidRPr="00F048CC">
              <w:rPr>
                <w:rFonts w:ascii="Arial" w:hAnsi="Arial" w:cs="Arial"/>
              </w:rPr>
              <w:t>)</w:t>
            </w:r>
          </w:p>
        </w:tc>
        <w:tc>
          <w:tcPr>
            <w:tcW w:w="1592" w:type="dxa"/>
            <w:vAlign w:val="center"/>
          </w:tcPr>
          <w:p w14:paraId="03725729" w14:textId="4509F0AF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3200 – 3700</w:t>
            </w:r>
          </w:p>
        </w:tc>
        <w:tc>
          <w:tcPr>
            <w:tcW w:w="1592" w:type="dxa"/>
            <w:vAlign w:val="center"/>
          </w:tcPr>
          <w:p w14:paraId="54867DEF" w14:textId="77DCF719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2850 – 3100</w:t>
            </w:r>
          </w:p>
        </w:tc>
        <w:tc>
          <w:tcPr>
            <w:tcW w:w="1592" w:type="dxa"/>
            <w:vAlign w:val="center"/>
          </w:tcPr>
          <w:p w14:paraId="469A22F3" w14:textId="3FF2AEF3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1620 – 1680</w:t>
            </w:r>
          </w:p>
        </w:tc>
        <w:tc>
          <w:tcPr>
            <w:tcW w:w="1592" w:type="dxa"/>
            <w:vAlign w:val="center"/>
          </w:tcPr>
          <w:p w14:paraId="223B980D" w14:textId="01632FF7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1650 – 1750</w:t>
            </w:r>
          </w:p>
        </w:tc>
      </w:tr>
      <w:tr w:rsidR="00F048CC" w14:paraId="2BA9B119" w14:textId="77777777" w:rsidTr="00C17CE7">
        <w:trPr>
          <w:trHeight w:val="454"/>
        </w:trPr>
        <w:tc>
          <w:tcPr>
            <w:tcW w:w="3820" w:type="dxa"/>
            <w:vAlign w:val="center"/>
          </w:tcPr>
          <w:p w14:paraId="647A5748" w14:textId="39C8EF6B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Allure de la bande caractéristique</w:t>
            </w:r>
          </w:p>
        </w:tc>
        <w:tc>
          <w:tcPr>
            <w:tcW w:w="1592" w:type="dxa"/>
            <w:vAlign w:val="center"/>
          </w:tcPr>
          <w:p w14:paraId="447361C3" w14:textId="0DBEF995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 xml:space="preserve">Forte et large </w:t>
            </w:r>
          </w:p>
        </w:tc>
        <w:tc>
          <w:tcPr>
            <w:tcW w:w="1592" w:type="dxa"/>
            <w:vAlign w:val="center"/>
          </w:tcPr>
          <w:p w14:paraId="197A524E" w14:textId="727989CA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Forte</w:t>
            </w:r>
          </w:p>
        </w:tc>
        <w:tc>
          <w:tcPr>
            <w:tcW w:w="1592" w:type="dxa"/>
            <w:vAlign w:val="center"/>
          </w:tcPr>
          <w:p w14:paraId="04B4335C" w14:textId="2824C855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Faible et</w:t>
            </w:r>
            <w:r>
              <w:rPr>
                <w:rFonts w:ascii="Arial" w:hAnsi="Arial" w:cs="Arial"/>
              </w:rPr>
              <w:t xml:space="preserve"> </w:t>
            </w:r>
            <w:r w:rsidRPr="00F048CC">
              <w:rPr>
                <w:rFonts w:ascii="Arial" w:hAnsi="Arial" w:cs="Arial"/>
              </w:rPr>
              <w:t>fine</w:t>
            </w:r>
          </w:p>
        </w:tc>
        <w:tc>
          <w:tcPr>
            <w:tcW w:w="1592" w:type="dxa"/>
            <w:vAlign w:val="center"/>
          </w:tcPr>
          <w:p w14:paraId="10230CAB" w14:textId="3AA8891F" w:rsidR="00F048CC" w:rsidRDefault="00C17CE7" w:rsidP="00C17CE7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Forte et fine</w:t>
            </w:r>
          </w:p>
        </w:tc>
      </w:tr>
    </w:tbl>
    <w:p w14:paraId="5FD90113" w14:textId="77777777" w:rsidR="00F048CC" w:rsidRPr="00F048CC" w:rsidRDefault="00F048CC" w:rsidP="00C17CE7">
      <w:pPr>
        <w:spacing w:after="0" w:line="240" w:lineRule="auto"/>
        <w:jc w:val="both"/>
        <w:rPr>
          <w:rFonts w:ascii="Arial" w:hAnsi="Arial" w:cs="Arial"/>
        </w:rPr>
      </w:pPr>
    </w:p>
    <w:p w14:paraId="75A092C3" w14:textId="3C4AC763" w:rsidR="00BA2404" w:rsidRPr="00F048CC" w:rsidRDefault="00BA2404" w:rsidP="00C17C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048CC">
        <w:rPr>
          <w:rFonts w:ascii="Arial" w:hAnsi="Arial" w:cs="Arial"/>
          <w:b/>
          <w:bCs/>
        </w:rPr>
        <w:t>1.</w:t>
      </w:r>
      <w:r w:rsidR="00F048CC" w:rsidRPr="00F048CC">
        <w:rPr>
          <w:rFonts w:ascii="Arial" w:hAnsi="Arial" w:cs="Arial"/>
          <w:b/>
          <w:bCs/>
        </w:rPr>
        <w:tab/>
      </w:r>
      <w:r w:rsidRPr="00F048CC">
        <w:rPr>
          <w:rFonts w:ascii="Arial" w:hAnsi="Arial" w:cs="Arial"/>
          <w:b/>
          <w:bCs/>
        </w:rPr>
        <w:t>Identification des espèces mises en jeu dans la réaction</w:t>
      </w:r>
    </w:p>
    <w:p w14:paraId="7B7E9126" w14:textId="77777777" w:rsidR="00F048CC" w:rsidRPr="00F048CC" w:rsidRDefault="00F048CC" w:rsidP="00C17CE7">
      <w:pPr>
        <w:spacing w:after="0" w:line="240" w:lineRule="auto"/>
        <w:jc w:val="both"/>
        <w:rPr>
          <w:rFonts w:ascii="Arial" w:hAnsi="Arial" w:cs="Arial"/>
        </w:rPr>
      </w:pPr>
    </w:p>
    <w:p w14:paraId="10286C3B" w14:textId="63074681" w:rsidR="00BA2404" w:rsidRDefault="00BA2404" w:rsidP="00C17C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048CC">
        <w:rPr>
          <w:rFonts w:ascii="Arial" w:hAnsi="Arial" w:cs="Arial"/>
          <w:b/>
          <w:bCs/>
        </w:rPr>
        <w:t>Q1.</w:t>
      </w:r>
      <w:r w:rsidR="00F048CC">
        <w:rPr>
          <w:rFonts w:ascii="Arial" w:hAnsi="Arial" w:cs="Arial"/>
        </w:rPr>
        <w:tab/>
      </w:r>
      <w:r w:rsidRPr="00F048CC">
        <w:rPr>
          <w:rFonts w:ascii="Arial" w:hAnsi="Arial" w:cs="Arial"/>
        </w:rPr>
        <w:t>Représenter la formule topologique des réactifs et de l’éthanoate de 3-méthylbutyle. Entourer les groupes</w:t>
      </w:r>
      <w:r w:rsidR="00F048CC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caractéristiques et identifier les familles fonctionnelles correspondantes.</w:t>
      </w:r>
    </w:p>
    <w:p w14:paraId="1FA41901" w14:textId="77777777" w:rsidR="00F048CC" w:rsidRPr="00F048CC" w:rsidRDefault="00F048CC" w:rsidP="00C17C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9CCE04F" w14:textId="1CB4CF7B" w:rsidR="00BA2404" w:rsidRDefault="00BA2404" w:rsidP="00C17C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048CC">
        <w:rPr>
          <w:rFonts w:ascii="Arial" w:hAnsi="Arial" w:cs="Arial"/>
          <w:b/>
          <w:bCs/>
        </w:rPr>
        <w:t>Q2.</w:t>
      </w:r>
      <w:r w:rsidR="00F048CC">
        <w:rPr>
          <w:rFonts w:ascii="Arial" w:hAnsi="Arial" w:cs="Arial"/>
        </w:rPr>
        <w:tab/>
      </w:r>
      <w:r w:rsidRPr="00F048CC">
        <w:rPr>
          <w:rFonts w:ascii="Arial" w:hAnsi="Arial" w:cs="Arial"/>
        </w:rPr>
        <w:t>Justifier que le produit P obtenu lors de cette synthèse est de l’eau.</w:t>
      </w:r>
    </w:p>
    <w:p w14:paraId="7D2C5655" w14:textId="77777777" w:rsidR="00F048CC" w:rsidRPr="00F048CC" w:rsidRDefault="00F048CC" w:rsidP="00C17C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228BF7D4" w14:textId="1A660525" w:rsidR="00BA2404" w:rsidRPr="00F048CC" w:rsidRDefault="00BA2404" w:rsidP="00C17CE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048CC">
        <w:rPr>
          <w:rFonts w:ascii="Arial" w:hAnsi="Arial" w:cs="Arial"/>
          <w:b/>
          <w:bCs/>
        </w:rPr>
        <w:t>Q3.</w:t>
      </w:r>
      <w:r w:rsidR="00F048CC">
        <w:rPr>
          <w:rFonts w:ascii="Arial" w:hAnsi="Arial" w:cs="Arial"/>
        </w:rPr>
        <w:tab/>
      </w:r>
      <w:r w:rsidRPr="00F048CC">
        <w:rPr>
          <w:rFonts w:ascii="Arial" w:hAnsi="Arial" w:cs="Arial"/>
        </w:rPr>
        <w:t>Attribuer, à l’aide des données et en justifiant, chacun des spectres A et B représentés ci-après soit à</w:t>
      </w:r>
      <w:r w:rsidR="00F048CC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l’acide éthanoïque, soit à l’éthanoate de 3-méthylbutyle.</w:t>
      </w:r>
    </w:p>
    <w:p w14:paraId="427C3D53" w14:textId="77777777" w:rsidR="009967C5" w:rsidRPr="00F048CC" w:rsidRDefault="009967C5" w:rsidP="00C17CE7">
      <w:pPr>
        <w:spacing w:after="0" w:line="240" w:lineRule="auto"/>
        <w:jc w:val="both"/>
        <w:rPr>
          <w:rFonts w:ascii="Arial" w:hAnsi="Arial" w:cs="Arial"/>
        </w:rPr>
      </w:pPr>
    </w:p>
    <w:p w14:paraId="10D82C22" w14:textId="650B0FEE" w:rsidR="001E7045" w:rsidRPr="00F048CC" w:rsidRDefault="009967C5" w:rsidP="00C17CE7">
      <w:pPr>
        <w:spacing w:after="0" w:line="240" w:lineRule="auto"/>
        <w:jc w:val="center"/>
        <w:rPr>
          <w:rFonts w:ascii="Arial" w:hAnsi="Arial" w:cs="Arial"/>
        </w:rPr>
      </w:pPr>
      <w:r w:rsidRPr="00F048CC">
        <w:rPr>
          <w:rFonts w:ascii="Arial" w:hAnsi="Arial" w:cs="Arial"/>
          <w:noProof/>
        </w:rPr>
        <w:drawing>
          <wp:inline distT="0" distB="0" distL="0" distR="0" wp14:anchorId="2D6AAF2B" wp14:editId="21AEDCE7">
            <wp:extent cx="4225702" cy="248400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02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045" w:rsidRPr="00F048CC">
        <w:rPr>
          <w:rFonts w:ascii="Arial" w:hAnsi="Arial" w:cs="Arial"/>
        </w:rPr>
        <w:br w:type="page"/>
      </w:r>
    </w:p>
    <w:p w14:paraId="065144BB" w14:textId="21F8EF7A" w:rsidR="009967C5" w:rsidRPr="00F048CC" w:rsidRDefault="009967C5" w:rsidP="00C17CE7">
      <w:pPr>
        <w:spacing w:after="120" w:line="240" w:lineRule="auto"/>
        <w:jc w:val="center"/>
        <w:rPr>
          <w:rFonts w:ascii="Arial" w:hAnsi="Arial" w:cs="Arial"/>
        </w:rPr>
      </w:pPr>
      <w:r w:rsidRPr="00F048CC">
        <w:rPr>
          <w:rFonts w:ascii="Arial" w:hAnsi="Arial" w:cs="Arial"/>
          <w:noProof/>
        </w:rPr>
        <w:lastRenderedPageBreak/>
        <w:drawing>
          <wp:inline distT="0" distB="0" distL="0" distR="0" wp14:anchorId="73BAE744" wp14:editId="23983826">
            <wp:extent cx="4268460" cy="2484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6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F8C4" w14:textId="098EE8D7" w:rsidR="00BA2404" w:rsidRPr="00F048CC" w:rsidRDefault="00BA2404" w:rsidP="00C17CE7">
      <w:pPr>
        <w:spacing w:after="0" w:line="240" w:lineRule="auto"/>
        <w:jc w:val="right"/>
        <w:rPr>
          <w:rFonts w:ascii="Arial" w:hAnsi="Arial" w:cs="Arial"/>
        </w:rPr>
      </w:pPr>
      <w:r w:rsidRPr="00F048CC">
        <w:rPr>
          <w:rFonts w:ascii="Arial" w:hAnsi="Arial" w:cs="Arial"/>
        </w:rPr>
        <w:t>Source</w:t>
      </w:r>
      <w:r w:rsidR="00C17CE7">
        <w:rPr>
          <w:rFonts w:ascii="Arial" w:hAnsi="Arial" w:cs="Arial"/>
        </w:rPr>
        <w:t> :</w:t>
      </w:r>
      <w:r w:rsidRPr="00F048CC">
        <w:rPr>
          <w:rFonts w:ascii="Arial" w:hAnsi="Arial" w:cs="Arial"/>
        </w:rPr>
        <w:t xml:space="preserve"> </w:t>
      </w:r>
      <w:r w:rsidRPr="00C17CE7">
        <w:rPr>
          <w:rFonts w:ascii="Arial" w:hAnsi="Arial" w:cs="Arial"/>
          <w:u w:val="single"/>
        </w:rPr>
        <w:t>https://sdbs.db.aist.go.jp/</w:t>
      </w:r>
    </w:p>
    <w:p w14:paraId="4AAE7546" w14:textId="77777777" w:rsidR="00C17CE7" w:rsidRPr="00F048CC" w:rsidRDefault="00C17CE7" w:rsidP="00C17CE7">
      <w:pPr>
        <w:spacing w:after="0" w:line="240" w:lineRule="auto"/>
        <w:jc w:val="both"/>
        <w:rPr>
          <w:rFonts w:ascii="Arial" w:hAnsi="Arial" w:cs="Arial"/>
        </w:rPr>
      </w:pPr>
    </w:p>
    <w:p w14:paraId="708E5336" w14:textId="46063012" w:rsidR="00BA2404" w:rsidRPr="00C17CE7" w:rsidRDefault="00BA2404" w:rsidP="00C17C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17CE7">
        <w:rPr>
          <w:rFonts w:ascii="Arial" w:hAnsi="Arial" w:cs="Arial"/>
          <w:b/>
          <w:bCs/>
        </w:rPr>
        <w:t>2.</w:t>
      </w:r>
      <w:r w:rsidR="00C17CE7" w:rsidRPr="00C17CE7">
        <w:rPr>
          <w:rFonts w:ascii="Arial" w:hAnsi="Arial" w:cs="Arial"/>
          <w:b/>
          <w:bCs/>
        </w:rPr>
        <w:tab/>
      </w:r>
      <w:r w:rsidRPr="00C17CE7">
        <w:rPr>
          <w:rFonts w:ascii="Arial" w:hAnsi="Arial" w:cs="Arial"/>
          <w:b/>
          <w:bCs/>
        </w:rPr>
        <w:t>Comparaison de protocoles de synthèse</w:t>
      </w:r>
    </w:p>
    <w:p w14:paraId="5F270C13" w14:textId="77777777" w:rsidR="00C17CE7" w:rsidRDefault="00C17CE7" w:rsidP="00C17CE7">
      <w:pPr>
        <w:spacing w:after="0" w:line="240" w:lineRule="auto"/>
        <w:jc w:val="both"/>
        <w:rPr>
          <w:rFonts w:ascii="Arial" w:hAnsi="Arial" w:cs="Arial"/>
        </w:rPr>
      </w:pPr>
    </w:p>
    <w:p w14:paraId="1F1B40EB" w14:textId="250C90E7" w:rsidR="00BA2404" w:rsidRPr="00C17CE7" w:rsidRDefault="00BA2404" w:rsidP="00C17CE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7CE7">
        <w:rPr>
          <w:rFonts w:ascii="Arial" w:hAnsi="Arial" w:cs="Arial"/>
          <w:b/>
          <w:bCs/>
        </w:rPr>
        <w:t>Données</w:t>
      </w:r>
      <w:r w:rsidR="00C17CE7" w:rsidRPr="00C17CE7">
        <w:rPr>
          <w:rFonts w:ascii="Arial" w:hAnsi="Arial" w:cs="Arial"/>
          <w:b/>
          <w:bCs/>
        </w:rPr>
        <w:t> :</w:t>
      </w:r>
    </w:p>
    <w:p w14:paraId="69BA4776" w14:textId="5E1B4E1A" w:rsidR="00BA2404" w:rsidRPr="00C17CE7" w:rsidRDefault="00BA2404" w:rsidP="00C17CE7">
      <w:pPr>
        <w:pStyle w:val="Paragraphedeliste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C17CE7">
        <w:rPr>
          <w:rFonts w:ascii="Arial" w:hAnsi="Arial" w:cs="Arial"/>
        </w:rPr>
        <w:t>l’ion</w:t>
      </w:r>
      <w:proofErr w:type="gramEnd"/>
      <w:r w:rsidRPr="00C17CE7">
        <w:rPr>
          <w:rFonts w:ascii="Arial" w:hAnsi="Arial" w:cs="Arial"/>
        </w:rPr>
        <w:t xml:space="preserve"> hydrogénocarbonate HCO</w:t>
      </w:r>
      <w:r w:rsidRPr="00C17CE7">
        <w:rPr>
          <w:rFonts w:ascii="Arial" w:hAnsi="Arial" w:cs="Arial"/>
          <w:vertAlign w:val="subscript"/>
        </w:rPr>
        <w:t>3</w:t>
      </w:r>
      <w:r w:rsidRPr="00C17CE7">
        <w:rPr>
          <w:rFonts w:ascii="Arial" w:hAnsi="Arial" w:cs="Arial"/>
          <w:vertAlign w:val="superscript"/>
        </w:rPr>
        <w:t>−</w:t>
      </w:r>
      <w:r w:rsidRPr="00C17CE7">
        <w:rPr>
          <w:rFonts w:ascii="Arial" w:hAnsi="Arial" w:cs="Arial"/>
        </w:rPr>
        <w:t xml:space="preserve"> est une espèce amphotère appartenant aux couples acide-base</w:t>
      </w:r>
      <w:r w:rsidR="00C17CE7" w:rsidRPr="00C17CE7">
        <w:rPr>
          <w:rFonts w:ascii="Arial" w:hAnsi="Arial" w:cs="Arial"/>
        </w:rPr>
        <w:t xml:space="preserve"> </w:t>
      </w:r>
      <w:r w:rsidRPr="00C17CE7">
        <w:rPr>
          <w:rFonts w:ascii="Arial" w:hAnsi="Arial" w:cs="Arial"/>
        </w:rPr>
        <w:t>suivants</w:t>
      </w:r>
      <w:r w:rsidR="00C17CE7" w:rsidRPr="00C17CE7">
        <w:rPr>
          <w:rFonts w:ascii="Arial" w:hAnsi="Arial" w:cs="Arial"/>
        </w:rPr>
        <w:t> :</w:t>
      </w:r>
      <w:r w:rsidRPr="00C17CE7">
        <w:rPr>
          <w:rFonts w:ascii="Arial" w:hAnsi="Arial" w:cs="Arial"/>
        </w:rPr>
        <w:t xml:space="preserve"> HCO</w:t>
      </w:r>
      <w:r w:rsidRPr="00C17CE7">
        <w:rPr>
          <w:rFonts w:ascii="Arial" w:hAnsi="Arial" w:cs="Arial"/>
          <w:vertAlign w:val="subscript"/>
        </w:rPr>
        <w:t>3</w:t>
      </w:r>
      <w:r w:rsidRPr="00C17CE7">
        <w:rPr>
          <w:rFonts w:ascii="Arial" w:hAnsi="Arial" w:cs="Arial"/>
          <w:vertAlign w:val="superscript"/>
        </w:rPr>
        <w:t>−</w:t>
      </w:r>
      <w:r w:rsidRPr="00C17CE7">
        <w:rPr>
          <w:rFonts w:ascii="Arial" w:hAnsi="Arial" w:cs="Arial"/>
        </w:rPr>
        <w:t>(aq)</w:t>
      </w:r>
      <w:r w:rsidR="00C17CE7">
        <w:rPr>
          <w:rFonts w:ascii="Arial" w:hAnsi="Arial" w:cs="Arial"/>
        </w:rPr>
        <w:t xml:space="preserve"> / </w:t>
      </w:r>
      <w:r w:rsidRPr="00C17CE7">
        <w:rPr>
          <w:rFonts w:ascii="Arial" w:hAnsi="Arial" w:cs="Arial"/>
        </w:rPr>
        <w:t>CO</w:t>
      </w:r>
      <w:r w:rsidRPr="00C17CE7">
        <w:rPr>
          <w:rFonts w:ascii="Arial" w:hAnsi="Arial" w:cs="Arial"/>
          <w:vertAlign w:val="subscript"/>
        </w:rPr>
        <w:t>3</w:t>
      </w:r>
      <w:r w:rsidRPr="00C17CE7">
        <w:rPr>
          <w:rFonts w:ascii="Arial" w:hAnsi="Arial" w:cs="Arial"/>
          <w:vertAlign w:val="superscript"/>
        </w:rPr>
        <w:t>2−</w:t>
      </w:r>
      <w:r w:rsidRPr="00C17CE7">
        <w:rPr>
          <w:rFonts w:ascii="Arial" w:hAnsi="Arial" w:cs="Arial"/>
        </w:rPr>
        <w:t>(aq)</w:t>
      </w:r>
      <w:r w:rsidR="00C17CE7">
        <w:rPr>
          <w:rFonts w:ascii="Arial" w:hAnsi="Arial" w:cs="Arial"/>
        </w:rPr>
        <w:t xml:space="preserve">  </w:t>
      </w:r>
      <w:r w:rsidRPr="00C17CE7">
        <w:rPr>
          <w:rFonts w:ascii="Arial" w:hAnsi="Arial" w:cs="Arial"/>
        </w:rPr>
        <w:t>et</w:t>
      </w:r>
      <w:r w:rsidR="00C17CE7">
        <w:rPr>
          <w:rFonts w:ascii="Arial" w:hAnsi="Arial" w:cs="Arial"/>
        </w:rPr>
        <w:t xml:space="preserve"> </w:t>
      </w:r>
      <w:r w:rsidRPr="00C17CE7">
        <w:rPr>
          <w:rFonts w:ascii="Arial" w:hAnsi="Arial" w:cs="Arial"/>
        </w:rPr>
        <w:t xml:space="preserve"> </w:t>
      </w:r>
      <w:r w:rsidR="00C17CE7">
        <w:rPr>
          <w:rFonts w:ascii="Arial" w:hAnsi="Arial" w:cs="Arial"/>
        </w:rPr>
        <w:t>(</w:t>
      </w:r>
      <w:r w:rsidRPr="00C17CE7">
        <w:rPr>
          <w:rFonts w:ascii="Arial" w:hAnsi="Arial" w:cs="Arial"/>
        </w:rPr>
        <w:t>CO</w:t>
      </w:r>
      <w:r w:rsidRPr="00C17CE7">
        <w:rPr>
          <w:rFonts w:ascii="Arial" w:hAnsi="Arial" w:cs="Arial"/>
          <w:vertAlign w:val="subscript"/>
        </w:rPr>
        <w:t>2</w:t>
      </w:r>
      <w:r w:rsidRPr="00C17CE7">
        <w:rPr>
          <w:rFonts w:ascii="Arial" w:hAnsi="Arial" w:cs="Arial"/>
        </w:rPr>
        <w:t>(g),H</w:t>
      </w:r>
      <w:r w:rsidRPr="00C17CE7">
        <w:rPr>
          <w:rFonts w:ascii="Arial" w:hAnsi="Arial" w:cs="Arial"/>
          <w:vertAlign w:val="subscript"/>
        </w:rPr>
        <w:t>2</w:t>
      </w:r>
      <w:r w:rsidRPr="00C17CE7">
        <w:rPr>
          <w:rFonts w:ascii="Arial" w:hAnsi="Arial" w:cs="Arial"/>
        </w:rPr>
        <w:t xml:space="preserve">O(l)) </w:t>
      </w:r>
      <w:r w:rsidR="00C17CE7">
        <w:rPr>
          <w:rFonts w:ascii="Arial" w:hAnsi="Arial" w:cs="Arial"/>
        </w:rPr>
        <w:t xml:space="preserve">/ </w:t>
      </w:r>
      <w:r w:rsidRPr="00C17CE7">
        <w:rPr>
          <w:rFonts w:ascii="Arial" w:hAnsi="Arial" w:cs="Arial"/>
        </w:rPr>
        <w:t>HCO</w:t>
      </w:r>
      <w:r w:rsidRPr="00C17CE7">
        <w:rPr>
          <w:rFonts w:ascii="Arial" w:hAnsi="Arial" w:cs="Arial"/>
          <w:vertAlign w:val="subscript"/>
        </w:rPr>
        <w:t>3</w:t>
      </w:r>
      <w:r w:rsidRPr="00C17CE7">
        <w:rPr>
          <w:rFonts w:ascii="Arial" w:hAnsi="Arial" w:cs="Arial"/>
          <w:vertAlign w:val="superscript"/>
        </w:rPr>
        <w:t>−</w:t>
      </w:r>
      <w:r w:rsidRPr="00C17CE7">
        <w:rPr>
          <w:rFonts w:ascii="Arial" w:hAnsi="Arial" w:cs="Arial"/>
        </w:rPr>
        <w:t>(aq)</w:t>
      </w:r>
      <w:r w:rsidR="00C17CE7">
        <w:rPr>
          <w:rFonts w:ascii="Arial" w:hAnsi="Arial" w:cs="Arial"/>
        </w:rPr>
        <w:t> ;</w:t>
      </w:r>
    </w:p>
    <w:p w14:paraId="2A546730" w14:textId="3E519013" w:rsidR="00BA2404" w:rsidRPr="00C17CE7" w:rsidRDefault="00BA2404" w:rsidP="00640C98">
      <w:pPr>
        <w:pStyle w:val="Paragraphedeliste"/>
        <w:numPr>
          <w:ilvl w:val="0"/>
          <w:numId w:val="23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C17CE7">
        <w:rPr>
          <w:rFonts w:ascii="Arial" w:hAnsi="Arial" w:cs="Arial"/>
        </w:rPr>
        <w:t>données</w:t>
      </w:r>
      <w:proofErr w:type="gramEnd"/>
      <w:r w:rsidRPr="00C17CE7">
        <w:rPr>
          <w:rFonts w:ascii="Arial" w:hAnsi="Arial" w:cs="Arial"/>
        </w:rPr>
        <w:t xml:space="preserve"> physico-chimiques à 20°C et données de sécurité</w:t>
      </w:r>
      <w:r w:rsidR="00C17CE7">
        <w:rPr>
          <w:rFonts w:ascii="Arial" w:hAnsi="Arial" w:cs="Arial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1701"/>
        <w:gridCol w:w="992"/>
        <w:gridCol w:w="1843"/>
        <w:gridCol w:w="2541"/>
      </w:tblGrid>
      <w:tr w:rsidR="00C17CE7" w14:paraId="6A6264E0" w14:textId="77777777" w:rsidTr="0076419B">
        <w:trPr>
          <w:trHeight w:val="737"/>
        </w:trPr>
        <w:tc>
          <w:tcPr>
            <w:tcW w:w="3111" w:type="dxa"/>
            <w:vAlign w:val="center"/>
          </w:tcPr>
          <w:p w14:paraId="0294EE24" w14:textId="485BDE2A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Espèce chimique</w:t>
            </w:r>
          </w:p>
        </w:tc>
        <w:tc>
          <w:tcPr>
            <w:tcW w:w="1701" w:type="dxa"/>
            <w:vAlign w:val="center"/>
          </w:tcPr>
          <w:p w14:paraId="6F468BBA" w14:textId="77777777" w:rsidR="00C17CE7" w:rsidRPr="00F048CC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Masse molaire</w:t>
            </w:r>
          </w:p>
          <w:p w14:paraId="2680845E" w14:textId="006B4407" w:rsidR="00C17CE7" w:rsidRDefault="00C17CE7" w:rsidP="0076419B">
            <w:pPr>
              <w:jc w:val="center"/>
              <w:rPr>
                <w:rFonts w:ascii="Arial" w:hAnsi="Arial" w:cs="Arial"/>
              </w:rPr>
            </w:pPr>
            <w:proofErr w:type="gramStart"/>
            <w:r w:rsidRPr="00F048CC">
              <w:rPr>
                <w:rFonts w:ascii="Arial" w:hAnsi="Arial" w:cs="Arial"/>
              </w:rPr>
              <w:t>en</w:t>
            </w:r>
            <w:proofErr w:type="gramEnd"/>
            <w:r w:rsidRPr="00F048CC">
              <w:rPr>
                <w:rFonts w:ascii="Arial" w:hAnsi="Arial" w:cs="Arial"/>
              </w:rPr>
              <w:t xml:space="preserve"> </w:t>
            </w:r>
            <w:proofErr w:type="spellStart"/>
            <w:r w:rsidRPr="00F048CC">
              <w:rPr>
                <w:rFonts w:ascii="Arial" w:hAnsi="Arial" w:cs="Arial"/>
              </w:rPr>
              <w:t>g∙mol</w:t>
            </w:r>
            <w:proofErr w:type="spellEnd"/>
            <w:r w:rsidRPr="00C17CE7">
              <w:rPr>
                <w:rFonts w:ascii="Arial" w:hAnsi="Arial" w:cs="Arial"/>
                <w:vertAlign w:val="superscript"/>
              </w:rPr>
              <w:t>–1</w:t>
            </w:r>
          </w:p>
        </w:tc>
        <w:tc>
          <w:tcPr>
            <w:tcW w:w="992" w:type="dxa"/>
            <w:vAlign w:val="center"/>
          </w:tcPr>
          <w:p w14:paraId="2B62C0DA" w14:textId="03CE0C1E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Densité</w:t>
            </w:r>
          </w:p>
        </w:tc>
        <w:tc>
          <w:tcPr>
            <w:tcW w:w="1843" w:type="dxa"/>
            <w:vAlign w:val="center"/>
          </w:tcPr>
          <w:p w14:paraId="290FC1EC" w14:textId="77777777" w:rsidR="00C17CE7" w:rsidRPr="00F048CC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Solubilité dans</w:t>
            </w:r>
          </w:p>
          <w:p w14:paraId="068D263E" w14:textId="5C8F388C" w:rsidR="00C17CE7" w:rsidRDefault="00C17CE7" w:rsidP="0076419B">
            <w:pPr>
              <w:jc w:val="center"/>
              <w:rPr>
                <w:rFonts w:ascii="Arial" w:hAnsi="Arial" w:cs="Arial"/>
              </w:rPr>
            </w:pPr>
            <w:proofErr w:type="gramStart"/>
            <w:r w:rsidRPr="00F048CC">
              <w:rPr>
                <w:rFonts w:ascii="Arial" w:hAnsi="Arial" w:cs="Arial"/>
              </w:rPr>
              <w:t>l’eau</w:t>
            </w:r>
            <w:proofErr w:type="gramEnd"/>
            <w:r w:rsidRPr="00F048CC">
              <w:rPr>
                <w:rFonts w:ascii="Arial" w:hAnsi="Arial" w:cs="Arial"/>
              </w:rPr>
              <w:t xml:space="preserve"> salée</w:t>
            </w:r>
          </w:p>
        </w:tc>
        <w:tc>
          <w:tcPr>
            <w:tcW w:w="2541" w:type="dxa"/>
            <w:vAlign w:val="center"/>
          </w:tcPr>
          <w:p w14:paraId="7000D117" w14:textId="013CE97F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Pictogrammes de sécurité</w:t>
            </w:r>
          </w:p>
        </w:tc>
      </w:tr>
      <w:tr w:rsidR="00C17CE7" w14:paraId="49EB74FE" w14:textId="77777777" w:rsidTr="0076419B">
        <w:trPr>
          <w:trHeight w:val="737"/>
        </w:trPr>
        <w:tc>
          <w:tcPr>
            <w:tcW w:w="3111" w:type="dxa"/>
            <w:vAlign w:val="center"/>
          </w:tcPr>
          <w:p w14:paraId="5BC4D996" w14:textId="721FD25F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3-méthylbutan-1-ol</w:t>
            </w:r>
          </w:p>
        </w:tc>
        <w:tc>
          <w:tcPr>
            <w:tcW w:w="1701" w:type="dxa"/>
            <w:vAlign w:val="center"/>
          </w:tcPr>
          <w:p w14:paraId="29DC4522" w14:textId="7D11F0BB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88,2</w:t>
            </w:r>
          </w:p>
        </w:tc>
        <w:tc>
          <w:tcPr>
            <w:tcW w:w="992" w:type="dxa"/>
            <w:vAlign w:val="center"/>
          </w:tcPr>
          <w:p w14:paraId="0254E393" w14:textId="0FF1C0B3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0,81</w:t>
            </w:r>
          </w:p>
        </w:tc>
        <w:tc>
          <w:tcPr>
            <w:tcW w:w="1843" w:type="dxa"/>
            <w:vAlign w:val="center"/>
          </w:tcPr>
          <w:p w14:paraId="0DAB370D" w14:textId="7C6A2A9D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Peu soluble</w:t>
            </w:r>
          </w:p>
        </w:tc>
        <w:tc>
          <w:tcPr>
            <w:tcW w:w="2541" w:type="dxa"/>
            <w:vAlign w:val="center"/>
          </w:tcPr>
          <w:p w14:paraId="7C6BAD7C" w14:textId="6DC842DA" w:rsidR="00C17CE7" w:rsidRDefault="0076419B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6222B8D4" wp14:editId="5FE8FD49">
                  <wp:extent cx="360000" cy="351815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36B988A0" wp14:editId="2486BC0D">
                  <wp:extent cx="360000" cy="349655"/>
                  <wp:effectExtent l="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E7" w14:paraId="709D0757" w14:textId="77777777" w:rsidTr="0076419B">
        <w:trPr>
          <w:trHeight w:val="737"/>
        </w:trPr>
        <w:tc>
          <w:tcPr>
            <w:tcW w:w="3111" w:type="dxa"/>
            <w:vAlign w:val="center"/>
          </w:tcPr>
          <w:p w14:paraId="68F4135B" w14:textId="76EB4C11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Acide éthanoïque</w:t>
            </w:r>
          </w:p>
        </w:tc>
        <w:tc>
          <w:tcPr>
            <w:tcW w:w="1701" w:type="dxa"/>
            <w:vAlign w:val="center"/>
          </w:tcPr>
          <w:p w14:paraId="76977727" w14:textId="56836B42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vAlign w:val="center"/>
          </w:tcPr>
          <w:p w14:paraId="2BC2FEFE" w14:textId="5F0BAA81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1,05</w:t>
            </w:r>
          </w:p>
        </w:tc>
        <w:tc>
          <w:tcPr>
            <w:tcW w:w="1843" w:type="dxa"/>
            <w:vAlign w:val="center"/>
          </w:tcPr>
          <w:p w14:paraId="72BD186F" w14:textId="7B21C27D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Très soluble</w:t>
            </w:r>
          </w:p>
        </w:tc>
        <w:tc>
          <w:tcPr>
            <w:tcW w:w="2541" w:type="dxa"/>
            <w:vAlign w:val="center"/>
          </w:tcPr>
          <w:p w14:paraId="5B5F4313" w14:textId="4DDE781A" w:rsidR="00C17CE7" w:rsidRDefault="0076419B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6AB255C9" wp14:editId="73732CB3">
                  <wp:extent cx="360000" cy="351815"/>
                  <wp:effectExtent l="0" t="0" r="254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09200949" wp14:editId="399DBD47">
                  <wp:extent cx="360000" cy="353755"/>
                  <wp:effectExtent l="0" t="0" r="254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E7" w14:paraId="65730598" w14:textId="77777777" w:rsidTr="0076419B">
        <w:trPr>
          <w:trHeight w:val="737"/>
        </w:trPr>
        <w:tc>
          <w:tcPr>
            <w:tcW w:w="3111" w:type="dxa"/>
            <w:vAlign w:val="center"/>
          </w:tcPr>
          <w:p w14:paraId="532F93D5" w14:textId="6D1ACC31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Éthanoate de 3-méthylbutyle</w:t>
            </w:r>
          </w:p>
        </w:tc>
        <w:tc>
          <w:tcPr>
            <w:tcW w:w="1701" w:type="dxa"/>
            <w:vAlign w:val="center"/>
          </w:tcPr>
          <w:p w14:paraId="63473CB3" w14:textId="01CC0098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130,2</w:t>
            </w:r>
          </w:p>
        </w:tc>
        <w:tc>
          <w:tcPr>
            <w:tcW w:w="992" w:type="dxa"/>
            <w:vAlign w:val="center"/>
          </w:tcPr>
          <w:p w14:paraId="3EF09590" w14:textId="4E9DBC38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0,87</w:t>
            </w:r>
          </w:p>
        </w:tc>
        <w:tc>
          <w:tcPr>
            <w:tcW w:w="1843" w:type="dxa"/>
            <w:vAlign w:val="center"/>
          </w:tcPr>
          <w:p w14:paraId="2EA69CCA" w14:textId="0361164C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Très peu soluble</w:t>
            </w:r>
          </w:p>
        </w:tc>
        <w:tc>
          <w:tcPr>
            <w:tcW w:w="2541" w:type="dxa"/>
            <w:vAlign w:val="center"/>
          </w:tcPr>
          <w:p w14:paraId="48D9C54D" w14:textId="2BB24461" w:rsidR="00C17CE7" w:rsidRDefault="0076419B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70F618B9" wp14:editId="23922B8E">
                  <wp:extent cx="360000" cy="349655"/>
                  <wp:effectExtent l="0" t="0" r="254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E7" w14:paraId="1D2E1329" w14:textId="77777777" w:rsidTr="0076419B">
        <w:trPr>
          <w:trHeight w:val="737"/>
        </w:trPr>
        <w:tc>
          <w:tcPr>
            <w:tcW w:w="3111" w:type="dxa"/>
            <w:vAlign w:val="center"/>
          </w:tcPr>
          <w:p w14:paraId="08AA8445" w14:textId="78A3081B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Cyclohexane</w:t>
            </w:r>
          </w:p>
        </w:tc>
        <w:tc>
          <w:tcPr>
            <w:tcW w:w="1701" w:type="dxa"/>
            <w:vAlign w:val="center"/>
          </w:tcPr>
          <w:p w14:paraId="10A0FBB3" w14:textId="3D1E26DE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vAlign w:val="center"/>
          </w:tcPr>
          <w:p w14:paraId="0AE4B116" w14:textId="06C60F5A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0,78</w:t>
            </w:r>
          </w:p>
        </w:tc>
        <w:tc>
          <w:tcPr>
            <w:tcW w:w="1843" w:type="dxa"/>
            <w:vAlign w:val="center"/>
          </w:tcPr>
          <w:p w14:paraId="026A4F2B" w14:textId="01E7DB16" w:rsidR="00C17CE7" w:rsidRDefault="00C17CE7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Insoluble</w:t>
            </w:r>
          </w:p>
        </w:tc>
        <w:tc>
          <w:tcPr>
            <w:tcW w:w="2541" w:type="dxa"/>
            <w:vAlign w:val="center"/>
          </w:tcPr>
          <w:p w14:paraId="436BE49C" w14:textId="17B1C33A" w:rsidR="00C17CE7" w:rsidRDefault="0076419B" w:rsidP="0076419B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0E83A123" wp14:editId="76C94CBF">
                  <wp:extent cx="360000" cy="349655"/>
                  <wp:effectExtent l="0" t="0" r="254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133DA0A8" wp14:editId="74F85B09">
                  <wp:extent cx="360000" cy="357896"/>
                  <wp:effectExtent l="0" t="0" r="254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4D6C7A8B" wp14:editId="76D2183A">
                  <wp:extent cx="360000" cy="351815"/>
                  <wp:effectExtent l="0" t="0" r="254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8CC">
              <w:rPr>
                <w:rFonts w:ascii="Arial" w:hAnsi="Arial" w:cs="Arial"/>
                <w:noProof/>
              </w:rPr>
              <w:drawing>
                <wp:inline distT="0" distB="0" distL="0" distR="0" wp14:anchorId="199B4464" wp14:editId="3C3FCE17">
                  <wp:extent cx="360000" cy="355836"/>
                  <wp:effectExtent l="0" t="0" r="254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FB482" w14:textId="08F8A4F2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</w:rPr>
      </w:pPr>
    </w:p>
    <w:p w14:paraId="4EC64DC4" w14:textId="77777777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Dans la suite de l’exercice on compare trois protocoles de synthèse.</w:t>
      </w:r>
    </w:p>
    <w:p w14:paraId="0219C300" w14:textId="77777777" w:rsidR="0076419B" w:rsidRDefault="0076419B" w:rsidP="00C17CE7">
      <w:pPr>
        <w:spacing w:after="0" w:line="240" w:lineRule="auto"/>
        <w:jc w:val="both"/>
        <w:rPr>
          <w:rFonts w:ascii="Arial" w:hAnsi="Arial" w:cs="Arial"/>
        </w:rPr>
      </w:pPr>
    </w:p>
    <w:p w14:paraId="28A23C62" w14:textId="703B3877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Protocole A</w:t>
      </w:r>
      <w:r w:rsidR="0076419B">
        <w:rPr>
          <w:rFonts w:ascii="Arial" w:hAnsi="Arial" w:cs="Arial"/>
        </w:rPr>
        <w:t> :</w:t>
      </w:r>
      <w:r w:rsidRPr="00F048CC">
        <w:rPr>
          <w:rFonts w:ascii="Arial" w:hAnsi="Arial" w:cs="Arial"/>
        </w:rPr>
        <w:t xml:space="preserve"> synthèse avec montage de chauffage à reflux</w:t>
      </w:r>
    </w:p>
    <w:p w14:paraId="7B4A0B6B" w14:textId="228F43A6" w:rsidR="00BA2404" w:rsidRPr="0076419B" w:rsidRDefault="00BA2404" w:rsidP="0076419B">
      <w:pPr>
        <w:pStyle w:val="Paragraphedeliste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567"/>
        <w:contextualSpacing w:val="0"/>
        <w:jc w:val="both"/>
        <w:rPr>
          <w:rFonts w:ascii="Arial" w:hAnsi="Arial" w:cs="Arial"/>
          <w:spacing w:val="-4"/>
        </w:rPr>
      </w:pPr>
      <w:r w:rsidRPr="0076419B">
        <w:rPr>
          <w:rFonts w:ascii="Arial" w:hAnsi="Arial" w:cs="Arial"/>
          <w:spacing w:val="-4"/>
        </w:rPr>
        <w:t>Étape 1</w:t>
      </w:r>
      <w:r w:rsidR="0076419B" w:rsidRPr="0076419B">
        <w:rPr>
          <w:rFonts w:ascii="Arial" w:hAnsi="Arial" w:cs="Arial"/>
          <w:spacing w:val="-4"/>
        </w:rPr>
        <w:t> :</w:t>
      </w:r>
      <w:r w:rsidRPr="0076419B">
        <w:rPr>
          <w:rFonts w:ascii="Arial" w:hAnsi="Arial" w:cs="Arial"/>
          <w:spacing w:val="-4"/>
        </w:rPr>
        <w:t xml:space="preserve"> dans un ballon on introduit 22 mL de 3-méthylbutan-1-ol, 15 mL d’acide éthanoïque pur et</w:t>
      </w:r>
      <w:r w:rsidR="0076419B" w:rsidRPr="0076419B">
        <w:rPr>
          <w:rFonts w:ascii="Arial" w:hAnsi="Arial" w:cs="Arial"/>
          <w:spacing w:val="-4"/>
        </w:rPr>
        <w:t xml:space="preserve"> </w:t>
      </w:r>
      <w:r w:rsidRPr="0076419B">
        <w:rPr>
          <w:rFonts w:ascii="Arial" w:hAnsi="Arial" w:cs="Arial"/>
          <w:spacing w:val="-4"/>
        </w:rPr>
        <w:t>10</w:t>
      </w:r>
      <w:r w:rsidR="0076419B" w:rsidRPr="0076419B">
        <w:rPr>
          <w:rFonts w:ascii="Arial" w:hAnsi="Arial" w:cs="Arial"/>
          <w:spacing w:val="-4"/>
        </w:rPr>
        <w:t> </w:t>
      </w:r>
      <w:r w:rsidRPr="0076419B">
        <w:rPr>
          <w:rFonts w:ascii="Arial" w:hAnsi="Arial" w:cs="Arial"/>
          <w:spacing w:val="-4"/>
        </w:rPr>
        <w:t>gouttes d’acide sulfurique concentré, ainsi que quelques grains de pierre ponce.</w:t>
      </w:r>
    </w:p>
    <w:p w14:paraId="70788F8B" w14:textId="6079269E" w:rsidR="00BA2404" w:rsidRPr="0076419B" w:rsidRDefault="00BA2404" w:rsidP="0076419B">
      <w:pPr>
        <w:pStyle w:val="Paragraphedeliste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567"/>
        <w:contextualSpacing w:val="0"/>
        <w:jc w:val="both"/>
        <w:rPr>
          <w:rFonts w:ascii="Arial" w:hAnsi="Arial" w:cs="Arial"/>
        </w:rPr>
      </w:pPr>
      <w:r w:rsidRPr="0076419B">
        <w:rPr>
          <w:rFonts w:ascii="Arial" w:hAnsi="Arial" w:cs="Arial"/>
        </w:rPr>
        <w:t>Étape 2</w:t>
      </w:r>
      <w:r w:rsidR="0076419B" w:rsidRPr="0076419B">
        <w:rPr>
          <w:rFonts w:ascii="Arial" w:hAnsi="Arial" w:cs="Arial"/>
        </w:rPr>
        <w:t> :</w:t>
      </w:r>
      <w:r w:rsidRPr="0076419B">
        <w:rPr>
          <w:rFonts w:ascii="Arial" w:hAnsi="Arial" w:cs="Arial"/>
        </w:rPr>
        <w:t xml:space="preserve"> le mélange est chauffé à reflux pendant 45 minutes puis refroidi à la température</w:t>
      </w:r>
      <w:r w:rsidR="0076419B" w:rsidRPr="0076419B">
        <w:rPr>
          <w:rFonts w:ascii="Arial" w:hAnsi="Arial" w:cs="Arial"/>
        </w:rPr>
        <w:t xml:space="preserve"> </w:t>
      </w:r>
      <w:r w:rsidRPr="0076419B">
        <w:rPr>
          <w:rFonts w:ascii="Arial" w:hAnsi="Arial" w:cs="Arial"/>
        </w:rPr>
        <w:t>ambiante.</w:t>
      </w:r>
    </w:p>
    <w:p w14:paraId="0595CC03" w14:textId="56F495C2" w:rsidR="00BA2404" w:rsidRPr="0076419B" w:rsidRDefault="00BA2404" w:rsidP="0076419B">
      <w:pPr>
        <w:pStyle w:val="Paragraphedeliste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567"/>
        <w:contextualSpacing w:val="0"/>
        <w:jc w:val="both"/>
        <w:rPr>
          <w:rFonts w:ascii="Arial" w:hAnsi="Arial" w:cs="Arial"/>
          <w:spacing w:val="-2"/>
        </w:rPr>
      </w:pPr>
      <w:r w:rsidRPr="0076419B">
        <w:rPr>
          <w:rFonts w:ascii="Arial" w:hAnsi="Arial" w:cs="Arial"/>
          <w:spacing w:val="-2"/>
        </w:rPr>
        <w:t>Étape 3</w:t>
      </w:r>
      <w:r w:rsidR="0076419B" w:rsidRPr="0076419B">
        <w:rPr>
          <w:rFonts w:ascii="Arial" w:hAnsi="Arial" w:cs="Arial"/>
          <w:spacing w:val="-2"/>
        </w:rPr>
        <w:t> :</w:t>
      </w:r>
      <w:r w:rsidRPr="0076419B">
        <w:rPr>
          <w:rFonts w:ascii="Arial" w:hAnsi="Arial" w:cs="Arial"/>
          <w:spacing w:val="-2"/>
        </w:rPr>
        <w:t xml:space="preserve"> la phase organique est ensuite lavée avec une solution aqueuse saturée de chlorure de</w:t>
      </w:r>
      <w:r w:rsidR="0076419B" w:rsidRPr="0076419B">
        <w:rPr>
          <w:rFonts w:ascii="Arial" w:hAnsi="Arial" w:cs="Arial"/>
          <w:spacing w:val="-2"/>
        </w:rPr>
        <w:t xml:space="preserve"> </w:t>
      </w:r>
      <w:r w:rsidRPr="0076419B">
        <w:rPr>
          <w:rFonts w:ascii="Arial" w:hAnsi="Arial" w:cs="Arial"/>
          <w:spacing w:val="-2"/>
        </w:rPr>
        <w:t>sodium puis avec une solution aqueuse d’hydrogénocarbonate de sodium. La phase organique est</w:t>
      </w:r>
      <w:r w:rsidR="0076419B" w:rsidRPr="0076419B">
        <w:rPr>
          <w:rFonts w:ascii="Arial" w:hAnsi="Arial" w:cs="Arial"/>
          <w:spacing w:val="-2"/>
        </w:rPr>
        <w:t xml:space="preserve"> </w:t>
      </w:r>
      <w:r w:rsidRPr="0076419B">
        <w:rPr>
          <w:rFonts w:ascii="Arial" w:hAnsi="Arial" w:cs="Arial"/>
          <w:spacing w:val="-2"/>
        </w:rPr>
        <w:t>alors séchée à l’aide de sulfate de magnésium anhydre.</w:t>
      </w:r>
    </w:p>
    <w:p w14:paraId="5EC053A6" w14:textId="162A3128" w:rsidR="00BA2404" w:rsidRPr="0076419B" w:rsidRDefault="00BA2404" w:rsidP="0076419B">
      <w:pPr>
        <w:pStyle w:val="Paragraphedeliste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6419B">
        <w:rPr>
          <w:rFonts w:ascii="Arial" w:hAnsi="Arial" w:cs="Arial"/>
        </w:rPr>
        <w:t xml:space="preserve">La masse d’éthanoate de 3-méthylbutyle obtenue est </w:t>
      </w:r>
      <w:proofErr w:type="spellStart"/>
      <w:r w:rsidRPr="00640C98">
        <w:rPr>
          <w:rFonts w:ascii="Arial" w:hAnsi="Arial" w:cs="Arial"/>
          <w:i/>
          <w:iCs/>
        </w:rPr>
        <w:t>m</w:t>
      </w:r>
      <w:r w:rsidRPr="00640C98">
        <w:rPr>
          <w:rFonts w:ascii="Arial" w:hAnsi="Arial" w:cs="Arial"/>
          <w:vertAlign w:val="subscript"/>
        </w:rPr>
        <w:t>B</w:t>
      </w:r>
      <w:proofErr w:type="spellEnd"/>
      <w:r w:rsidRPr="0076419B">
        <w:rPr>
          <w:rFonts w:ascii="Arial" w:hAnsi="Arial" w:cs="Arial"/>
        </w:rPr>
        <w:t xml:space="preserve"> = 19,7 g.</w:t>
      </w:r>
    </w:p>
    <w:p w14:paraId="7337C030" w14:textId="77777777" w:rsidR="0076419B" w:rsidRDefault="0076419B" w:rsidP="00C17CE7">
      <w:pPr>
        <w:spacing w:after="0" w:line="240" w:lineRule="auto"/>
        <w:jc w:val="both"/>
        <w:rPr>
          <w:rFonts w:ascii="Arial" w:hAnsi="Arial" w:cs="Arial"/>
        </w:rPr>
      </w:pPr>
    </w:p>
    <w:p w14:paraId="5C043DE2" w14:textId="4DD16E92" w:rsidR="004410FC" w:rsidRPr="00F048CC" w:rsidRDefault="00BA2404" w:rsidP="007641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6419B">
        <w:rPr>
          <w:rFonts w:ascii="Arial" w:hAnsi="Arial" w:cs="Arial"/>
          <w:b/>
          <w:bCs/>
        </w:rPr>
        <w:t>Q4.</w:t>
      </w:r>
      <w:r w:rsidR="0076419B">
        <w:rPr>
          <w:rFonts w:ascii="Arial" w:hAnsi="Arial" w:cs="Arial"/>
        </w:rPr>
        <w:tab/>
      </w:r>
      <w:r w:rsidRPr="00F048CC">
        <w:rPr>
          <w:rFonts w:ascii="Arial" w:hAnsi="Arial" w:cs="Arial"/>
        </w:rPr>
        <w:t>Nommer les étapes 2 et 3 du protocole A.</w:t>
      </w:r>
    </w:p>
    <w:p w14:paraId="4DF4C006" w14:textId="13D35B07" w:rsidR="00BA2404" w:rsidRPr="00F048CC" w:rsidRDefault="00BA2404" w:rsidP="00C17CE7">
      <w:pPr>
        <w:spacing w:line="240" w:lineRule="auto"/>
        <w:rPr>
          <w:rFonts w:ascii="Arial" w:hAnsi="Arial" w:cs="Arial"/>
        </w:rPr>
      </w:pPr>
      <w:r w:rsidRPr="00F048CC">
        <w:rPr>
          <w:rFonts w:ascii="Arial" w:hAnsi="Arial" w:cs="Arial"/>
        </w:rPr>
        <w:br w:type="page"/>
      </w:r>
    </w:p>
    <w:p w14:paraId="6779E050" w14:textId="77777777" w:rsidR="00BA2404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lastRenderedPageBreak/>
        <w:t>L’acide sulfurique concentré est utilisé comme catalyseur dans ce protocole.</w:t>
      </w:r>
    </w:p>
    <w:p w14:paraId="6EDA3615" w14:textId="77777777" w:rsidR="001823D0" w:rsidRPr="00F048CC" w:rsidRDefault="001823D0" w:rsidP="00C17CE7">
      <w:pPr>
        <w:spacing w:after="0" w:line="240" w:lineRule="auto"/>
        <w:jc w:val="both"/>
        <w:rPr>
          <w:rFonts w:ascii="Arial" w:hAnsi="Arial" w:cs="Arial"/>
        </w:rPr>
      </w:pPr>
    </w:p>
    <w:p w14:paraId="499F52ED" w14:textId="4255F894" w:rsidR="00BA2404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1823D0">
        <w:rPr>
          <w:rFonts w:ascii="Arial" w:hAnsi="Arial" w:cs="Arial"/>
          <w:b/>
          <w:bCs/>
        </w:rPr>
        <w:t>Q5.</w:t>
      </w:r>
      <w:r w:rsidR="001823D0">
        <w:rPr>
          <w:rFonts w:ascii="Arial" w:hAnsi="Arial" w:cs="Arial"/>
        </w:rPr>
        <w:tab/>
      </w:r>
      <w:r w:rsidRPr="00F048CC">
        <w:rPr>
          <w:rFonts w:ascii="Arial" w:hAnsi="Arial" w:cs="Arial"/>
        </w:rPr>
        <w:t>Préciser le sens du mot catalyseur.</w:t>
      </w:r>
    </w:p>
    <w:p w14:paraId="60E77FBE" w14:textId="77777777" w:rsidR="001823D0" w:rsidRPr="00F048CC" w:rsidRDefault="001823D0" w:rsidP="00C17CE7">
      <w:pPr>
        <w:spacing w:after="0" w:line="240" w:lineRule="auto"/>
        <w:jc w:val="both"/>
        <w:rPr>
          <w:rFonts w:ascii="Arial" w:hAnsi="Arial" w:cs="Arial"/>
        </w:rPr>
      </w:pPr>
    </w:p>
    <w:p w14:paraId="003D1D3A" w14:textId="3E0C7FAA" w:rsidR="00BA2404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1823D0">
        <w:rPr>
          <w:rFonts w:ascii="Arial" w:hAnsi="Arial" w:cs="Arial"/>
          <w:b/>
          <w:bCs/>
        </w:rPr>
        <w:t>Q6.</w:t>
      </w:r>
      <w:r w:rsidR="001823D0">
        <w:rPr>
          <w:rFonts w:ascii="Arial" w:hAnsi="Arial" w:cs="Arial"/>
        </w:rPr>
        <w:tab/>
      </w:r>
      <w:r w:rsidRPr="00F048CC">
        <w:rPr>
          <w:rFonts w:ascii="Arial" w:hAnsi="Arial" w:cs="Arial"/>
        </w:rPr>
        <w:t>Préciser l’utilité du montage de chauffage à reflux dans ce protocole.</w:t>
      </w:r>
    </w:p>
    <w:p w14:paraId="5D8032D3" w14:textId="77777777" w:rsidR="001823D0" w:rsidRPr="00F048CC" w:rsidRDefault="001823D0" w:rsidP="00C17CE7">
      <w:pPr>
        <w:spacing w:after="0" w:line="240" w:lineRule="auto"/>
        <w:jc w:val="both"/>
        <w:rPr>
          <w:rFonts w:ascii="Arial" w:hAnsi="Arial" w:cs="Arial"/>
        </w:rPr>
      </w:pPr>
    </w:p>
    <w:p w14:paraId="4396E65A" w14:textId="77777777" w:rsidR="00BA2404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Lors du second lavage de l’étape 3 du protocole, on observe un dégagement gazeux.</w:t>
      </w:r>
    </w:p>
    <w:p w14:paraId="706C3029" w14:textId="77777777" w:rsidR="001823D0" w:rsidRPr="00F048CC" w:rsidRDefault="001823D0" w:rsidP="00C17CE7">
      <w:pPr>
        <w:spacing w:after="0" w:line="240" w:lineRule="auto"/>
        <w:jc w:val="both"/>
        <w:rPr>
          <w:rFonts w:ascii="Arial" w:hAnsi="Arial" w:cs="Arial"/>
        </w:rPr>
      </w:pPr>
    </w:p>
    <w:p w14:paraId="0F0FF1F4" w14:textId="5A146757" w:rsidR="00BA2404" w:rsidRDefault="00BA2404" w:rsidP="001823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823D0">
        <w:rPr>
          <w:rFonts w:ascii="Arial" w:hAnsi="Arial" w:cs="Arial"/>
          <w:b/>
          <w:bCs/>
        </w:rPr>
        <w:t>Q7.</w:t>
      </w:r>
      <w:r w:rsidR="001823D0">
        <w:rPr>
          <w:rFonts w:ascii="Arial" w:hAnsi="Arial" w:cs="Arial"/>
        </w:rPr>
        <w:tab/>
      </w:r>
      <w:r w:rsidRPr="00F048CC">
        <w:rPr>
          <w:rFonts w:ascii="Arial" w:hAnsi="Arial" w:cs="Arial"/>
        </w:rPr>
        <w:t>À l’aide des données, proposer une explication à cette observation et justifier l’utilité de cette étape.</w:t>
      </w:r>
    </w:p>
    <w:p w14:paraId="388C43CE" w14:textId="77777777" w:rsidR="001823D0" w:rsidRPr="00F048CC" w:rsidRDefault="001823D0" w:rsidP="001823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31A3130A" w14:textId="65697A14" w:rsidR="00BA2404" w:rsidRPr="00F048CC" w:rsidRDefault="00BA2404" w:rsidP="001823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823D0">
        <w:rPr>
          <w:rFonts w:ascii="Arial" w:hAnsi="Arial" w:cs="Arial"/>
          <w:b/>
          <w:bCs/>
        </w:rPr>
        <w:t>Q8.</w:t>
      </w:r>
      <w:r w:rsidR="001823D0">
        <w:rPr>
          <w:rFonts w:ascii="Arial" w:hAnsi="Arial" w:cs="Arial"/>
        </w:rPr>
        <w:tab/>
      </w:r>
      <w:r w:rsidRPr="00F048CC">
        <w:rPr>
          <w:rFonts w:ascii="Arial" w:hAnsi="Arial" w:cs="Arial"/>
        </w:rPr>
        <w:t>Déterminer le réactif limitant utilisé dans le protocole A puis calculer le rendement de la synthèse réalisée</w:t>
      </w:r>
      <w:r w:rsidR="001823D0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en suivant ce protocole.</w:t>
      </w:r>
    </w:p>
    <w:p w14:paraId="54663D5E" w14:textId="77777777" w:rsidR="001823D0" w:rsidRDefault="001823D0" w:rsidP="00C17CE7">
      <w:pPr>
        <w:spacing w:after="0" w:line="240" w:lineRule="auto"/>
        <w:jc w:val="both"/>
        <w:rPr>
          <w:rFonts w:ascii="Arial" w:hAnsi="Arial" w:cs="Arial"/>
        </w:rPr>
      </w:pPr>
    </w:p>
    <w:p w14:paraId="1A93BF88" w14:textId="1CE3AE2C" w:rsidR="00BA2404" w:rsidRDefault="00BA2404" w:rsidP="00C17CE7">
      <w:pPr>
        <w:spacing w:after="0" w:line="240" w:lineRule="auto"/>
        <w:jc w:val="both"/>
        <w:rPr>
          <w:rFonts w:ascii="Arial" w:hAnsi="Arial" w:cs="Arial"/>
        </w:rPr>
      </w:pPr>
      <w:r w:rsidRPr="00F048CC">
        <w:rPr>
          <w:rFonts w:ascii="Arial" w:hAnsi="Arial" w:cs="Arial"/>
        </w:rPr>
        <w:t>Dans les protocoles B et C, les étapes 1 et 3 sont identiques à celles du protocole A mais l’étape 2 est modifiée</w:t>
      </w:r>
      <w:r w:rsidR="001823D0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comme indiqué ci-dessous</w:t>
      </w:r>
      <w:r w:rsidR="001823D0">
        <w:rPr>
          <w:rFonts w:ascii="Arial" w:hAnsi="Arial" w:cs="Arial"/>
        </w:rPr>
        <w:t> :</w:t>
      </w:r>
    </w:p>
    <w:p w14:paraId="1F039BC4" w14:textId="77777777" w:rsidR="00640C98" w:rsidRDefault="00640C98" w:rsidP="00C17CE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4382"/>
      </w:tblGrid>
      <w:tr w:rsidR="001823D0" w14:paraId="51562E39" w14:textId="77777777" w:rsidTr="00640C98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51DBFCD" w14:textId="77777777" w:rsidR="001823D0" w:rsidRDefault="001823D0" w:rsidP="00640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715408DE" w14:textId="3A2EE0C6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Protocole B</w:t>
            </w:r>
          </w:p>
        </w:tc>
        <w:tc>
          <w:tcPr>
            <w:tcW w:w="4382" w:type="dxa"/>
            <w:vAlign w:val="center"/>
          </w:tcPr>
          <w:p w14:paraId="3FE50DFB" w14:textId="47AE002B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Protocole C</w:t>
            </w:r>
          </w:p>
        </w:tc>
      </w:tr>
      <w:tr w:rsidR="001823D0" w14:paraId="29B29CB0" w14:textId="77777777" w:rsidTr="00640C98"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72382AF4" w14:textId="77777777" w:rsidR="001823D0" w:rsidRDefault="001823D0" w:rsidP="00640C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6FD4C235" w14:textId="4DFD9A42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Synthèse au four à micro-ondes</w:t>
            </w:r>
          </w:p>
        </w:tc>
        <w:tc>
          <w:tcPr>
            <w:tcW w:w="4382" w:type="dxa"/>
            <w:vAlign w:val="center"/>
          </w:tcPr>
          <w:p w14:paraId="2BBE0488" w14:textId="77777777" w:rsidR="00640C98" w:rsidRPr="00F048CC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Synthèse avec un appareil</w:t>
            </w:r>
          </w:p>
          <w:p w14:paraId="502B56ED" w14:textId="33C0947F" w:rsidR="001823D0" w:rsidRDefault="00640C98" w:rsidP="00640C98">
            <w:pPr>
              <w:jc w:val="center"/>
              <w:rPr>
                <w:rFonts w:ascii="Arial" w:hAnsi="Arial" w:cs="Arial"/>
              </w:rPr>
            </w:pPr>
            <w:proofErr w:type="gramStart"/>
            <w:r w:rsidRPr="00F048CC">
              <w:rPr>
                <w:rFonts w:ascii="Arial" w:hAnsi="Arial" w:cs="Arial"/>
              </w:rPr>
              <w:t>de</w:t>
            </w:r>
            <w:proofErr w:type="gramEnd"/>
            <w:r w:rsidRPr="00F048CC">
              <w:rPr>
                <w:rFonts w:ascii="Arial" w:hAnsi="Arial" w:cs="Arial"/>
              </w:rPr>
              <w:t xml:space="preserve"> Dean-Stark</w:t>
            </w:r>
          </w:p>
        </w:tc>
      </w:tr>
      <w:tr w:rsidR="001823D0" w14:paraId="402B9753" w14:textId="77777777" w:rsidTr="00640C98">
        <w:tc>
          <w:tcPr>
            <w:tcW w:w="2127" w:type="dxa"/>
            <w:vAlign w:val="center"/>
          </w:tcPr>
          <w:p w14:paraId="4431D691" w14:textId="63C0927B" w:rsidR="001823D0" w:rsidRDefault="00640C98" w:rsidP="00E84100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Modifications de</w:t>
            </w:r>
            <w:r w:rsidR="00E84100">
              <w:rPr>
                <w:rFonts w:ascii="Arial" w:hAnsi="Arial" w:cs="Arial"/>
              </w:rPr>
              <w:t xml:space="preserve"> </w:t>
            </w:r>
            <w:r w:rsidRPr="00F048CC">
              <w:rPr>
                <w:rFonts w:ascii="Arial" w:hAnsi="Arial" w:cs="Arial"/>
              </w:rPr>
              <w:t>l’étape 2</w:t>
            </w:r>
          </w:p>
        </w:tc>
        <w:tc>
          <w:tcPr>
            <w:tcW w:w="3685" w:type="dxa"/>
            <w:vAlign w:val="center"/>
          </w:tcPr>
          <w:p w14:paraId="47014F38" w14:textId="1E597649" w:rsidR="001823D0" w:rsidRDefault="00640C98" w:rsidP="00E84100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Chauffage avec une puissance de</w:t>
            </w:r>
            <w:r w:rsidR="00E84100">
              <w:rPr>
                <w:rFonts w:ascii="Arial" w:hAnsi="Arial" w:cs="Arial"/>
              </w:rPr>
              <w:t xml:space="preserve"> </w:t>
            </w:r>
            <w:r w:rsidRPr="00F048CC">
              <w:rPr>
                <w:rFonts w:ascii="Arial" w:hAnsi="Arial" w:cs="Arial"/>
              </w:rPr>
              <w:t>800 W pendant 30 s.</w:t>
            </w:r>
          </w:p>
        </w:tc>
        <w:tc>
          <w:tcPr>
            <w:tcW w:w="4382" w:type="dxa"/>
            <w:vAlign w:val="center"/>
          </w:tcPr>
          <w:p w14:paraId="1848E951" w14:textId="6C7F1252" w:rsidR="001823D0" w:rsidRDefault="00640C98" w:rsidP="00E84100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Chauffage à l’aide de l’appareil de Dean-Stark permettant d’extraire l’eau au cours</w:t>
            </w:r>
            <w:r w:rsidR="00E84100">
              <w:rPr>
                <w:rFonts w:ascii="Arial" w:hAnsi="Arial" w:cs="Arial"/>
              </w:rPr>
              <w:t xml:space="preserve"> </w:t>
            </w:r>
            <w:r w:rsidRPr="00F048CC">
              <w:rPr>
                <w:rFonts w:ascii="Arial" w:hAnsi="Arial" w:cs="Arial"/>
              </w:rPr>
              <w:t>de sa formation, en présence de</w:t>
            </w:r>
            <w:r w:rsidR="00E84100">
              <w:rPr>
                <w:rFonts w:ascii="Arial" w:hAnsi="Arial" w:cs="Arial"/>
              </w:rPr>
              <w:t xml:space="preserve"> </w:t>
            </w:r>
            <w:r w:rsidRPr="00F048CC">
              <w:rPr>
                <w:rFonts w:ascii="Arial" w:hAnsi="Arial" w:cs="Arial"/>
              </w:rPr>
              <w:t>cyclohexane jouant le rôle de solvant.</w:t>
            </w:r>
          </w:p>
        </w:tc>
      </w:tr>
      <w:tr w:rsidR="001823D0" w14:paraId="1502507E" w14:textId="77777777" w:rsidTr="00640C98">
        <w:tc>
          <w:tcPr>
            <w:tcW w:w="2127" w:type="dxa"/>
            <w:vAlign w:val="center"/>
          </w:tcPr>
          <w:p w14:paraId="63592F41" w14:textId="7CB6ED83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Rendement</w:t>
            </w:r>
          </w:p>
        </w:tc>
        <w:tc>
          <w:tcPr>
            <w:tcW w:w="3685" w:type="dxa"/>
            <w:vAlign w:val="center"/>
          </w:tcPr>
          <w:p w14:paraId="6F76C43A" w14:textId="416FEE8F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87 %</w:t>
            </w:r>
          </w:p>
        </w:tc>
        <w:tc>
          <w:tcPr>
            <w:tcW w:w="4382" w:type="dxa"/>
            <w:vAlign w:val="center"/>
          </w:tcPr>
          <w:p w14:paraId="3A52C953" w14:textId="3F02592B" w:rsidR="001823D0" w:rsidRDefault="00640C98" w:rsidP="00640C98">
            <w:pPr>
              <w:jc w:val="center"/>
              <w:rPr>
                <w:rFonts w:ascii="Arial" w:hAnsi="Arial" w:cs="Arial"/>
              </w:rPr>
            </w:pPr>
            <w:r w:rsidRPr="00F048CC">
              <w:rPr>
                <w:rFonts w:ascii="Arial" w:hAnsi="Arial" w:cs="Arial"/>
              </w:rPr>
              <w:t>85 %</w:t>
            </w:r>
          </w:p>
        </w:tc>
      </w:tr>
    </w:tbl>
    <w:p w14:paraId="1D889810" w14:textId="361AD8F7" w:rsidR="00BA2404" w:rsidRPr="00F048CC" w:rsidRDefault="00BA2404" w:rsidP="00C17CE7">
      <w:pPr>
        <w:spacing w:after="0" w:line="240" w:lineRule="auto"/>
        <w:jc w:val="both"/>
        <w:rPr>
          <w:rFonts w:ascii="Arial" w:hAnsi="Arial" w:cs="Arial"/>
        </w:rPr>
      </w:pPr>
    </w:p>
    <w:p w14:paraId="1C3E6658" w14:textId="58238D81" w:rsidR="00BA2404" w:rsidRPr="00640C98" w:rsidRDefault="00BA2404" w:rsidP="00C17CE7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640C98">
        <w:rPr>
          <w:rFonts w:ascii="Arial" w:hAnsi="Arial" w:cs="Arial"/>
          <w:spacing w:val="-2"/>
        </w:rPr>
        <w:t>Le chauffe-ballon utilisé dans les protocoles A et C lors de l’étape 2 consomme une énergie de 4,1×10</w:t>
      </w:r>
      <w:r w:rsidRPr="00640C98">
        <w:rPr>
          <w:rFonts w:ascii="Arial" w:hAnsi="Arial" w:cs="Arial"/>
          <w:spacing w:val="-2"/>
          <w:vertAlign w:val="superscript"/>
        </w:rPr>
        <w:t>5</w:t>
      </w:r>
      <w:r w:rsidRPr="00640C98">
        <w:rPr>
          <w:rFonts w:ascii="Arial" w:hAnsi="Arial" w:cs="Arial"/>
          <w:spacing w:val="-2"/>
        </w:rPr>
        <w:t xml:space="preserve"> J.</w:t>
      </w:r>
    </w:p>
    <w:p w14:paraId="61B8012F" w14:textId="77777777" w:rsidR="00640C98" w:rsidRPr="00F048CC" w:rsidRDefault="00640C98" w:rsidP="00C17CE7">
      <w:pPr>
        <w:spacing w:after="0" w:line="240" w:lineRule="auto"/>
        <w:jc w:val="both"/>
        <w:rPr>
          <w:rFonts w:ascii="Arial" w:hAnsi="Arial" w:cs="Arial"/>
        </w:rPr>
      </w:pPr>
    </w:p>
    <w:p w14:paraId="20E91137" w14:textId="5A8F035E" w:rsidR="00BA2404" w:rsidRDefault="00BA2404" w:rsidP="001823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823D0">
        <w:rPr>
          <w:rFonts w:ascii="Arial" w:hAnsi="Arial" w:cs="Arial"/>
          <w:b/>
          <w:bCs/>
        </w:rPr>
        <w:t>Q9.</w:t>
      </w:r>
      <w:r w:rsidR="001823D0">
        <w:rPr>
          <w:rFonts w:ascii="Arial" w:hAnsi="Arial" w:cs="Arial"/>
        </w:rPr>
        <w:tab/>
      </w:r>
      <w:r w:rsidRPr="00F048CC">
        <w:rPr>
          <w:rFonts w:ascii="Arial" w:hAnsi="Arial" w:cs="Arial"/>
        </w:rPr>
        <w:t>Calculer l’énergie utilisée pour chauffer le mélange réactionnel dans le protocole B. Commenter.</w:t>
      </w:r>
    </w:p>
    <w:p w14:paraId="37C4F0AE" w14:textId="77777777" w:rsidR="00640C98" w:rsidRPr="00F048CC" w:rsidRDefault="00640C98" w:rsidP="001823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D2E03E0" w14:textId="6889DBD6" w:rsidR="00BA2404" w:rsidRPr="00640C98" w:rsidRDefault="00BA2404" w:rsidP="00C17CE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640C98">
        <w:rPr>
          <w:rFonts w:ascii="Arial" w:hAnsi="Arial" w:cs="Arial"/>
          <w:spacing w:val="-4"/>
        </w:rPr>
        <w:t>L’objectif de la chimie verte est de réduire l'impact de la chimie sur la santé humaine et l’environnement. Il</w:t>
      </w:r>
      <w:r w:rsidR="00640C98" w:rsidRPr="00640C98">
        <w:rPr>
          <w:rFonts w:ascii="Arial" w:hAnsi="Arial" w:cs="Arial"/>
          <w:spacing w:val="-4"/>
        </w:rPr>
        <w:t xml:space="preserve"> </w:t>
      </w:r>
      <w:r w:rsidRPr="00640C98">
        <w:rPr>
          <w:rFonts w:ascii="Arial" w:hAnsi="Arial" w:cs="Arial"/>
          <w:spacing w:val="-4"/>
        </w:rPr>
        <w:t>s’agit donc de rechercher des milieux réactionnels alternatifs et respectueux de l'environnement tout en</w:t>
      </w:r>
      <w:r w:rsidR="00640C98" w:rsidRPr="00640C98">
        <w:rPr>
          <w:rFonts w:ascii="Arial" w:hAnsi="Arial" w:cs="Arial"/>
          <w:spacing w:val="-4"/>
        </w:rPr>
        <w:t xml:space="preserve"> </w:t>
      </w:r>
      <w:r w:rsidRPr="00640C98">
        <w:rPr>
          <w:rFonts w:ascii="Arial" w:hAnsi="Arial" w:cs="Arial"/>
          <w:spacing w:val="-4"/>
        </w:rPr>
        <w:t>s’efforçant, dans le même temps, d’augmenter les vitesses et d’abaisser les températures de réaction. Paul</w:t>
      </w:r>
      <w:r w:rsidR="00640C98" w:rsidRPr="00640C98">
        <w:rPr>
          <w:rFonts w:ascii="Arial" w:hAnsi="Arial" w:cs="Arial"/>
          <w:spacing w:val="-4"/>
        </w:rPr>
        <w:t xml:space="preserve"> </w:t>
      </w:r>
      <w:r w:rsidRPr="00640C98">
        <w:rPr>
          <w:rFonts w:ascii="Arial" w:hAnsi="Arial" w:cs="Arial"/>
          <w:spacing w:val="-4"/>
        </w:rPr>
        <w:t>T.</w:t>
      </w:r>
      <w:r w:rsidR="00640C98">
        <w:rPr>
          <w:rFonts w:ascii="Arial" w:hAnsi="Arial" w:cs="Arial"/>
          <w:spacing w:val="-4"/>
        </w:rPr>
        <w:t> </w:t>
      </w:r>
      <w:proofErr w:type="spellStart"/>
      <w:r w:rsidRPr="00640C98">
        <w:rPr>
          <w:rFonts w:ascii="Arial" w:hAnsi="Arial" w:cs="Arial"/>
          <w:spacing w:val="-4"/>
        </w:rPr>
        <w:t>Anastas</w:t>
      </w:r>
      <w:proofErr w:type="spellEnd"/>
      <w:r w:rsidRPr="00640C98">
        <w:rPr>
          <w:rFonts w:ascii="Arial" w:hAnsi="Arial" w:cs="Arial"/>
          <w:spacing w:val="-4"/>
        </w:rPr>
        <w:t xml:space="preserve"> et John C. Warner ont développé 12 principes de la chimie verte en 1991. Ces principes se divisent</w:t>
      </w:r>
      <w:r w:rsidR="00640C98" w:rsidRPr="00640C98">
        <w:rPr>
          <w:rFonts w:ascii="Arial" w:hAnsi="Arial" w:cs="Arial"/>
          <w:spacing w:val="-4"/>
        </w:rPr>
        <w:t xml:space="preserve"> </w:t>
      </w:r>
      <w:r w:rsidRPr="00640C98">
        <w:rPr>
          <w:rFonts w:ascii="Arial" w:hAnsi="Arial" w:cs="Arial"/>
          <w:spacing w:val="-4"/>
        </w:rPr>
        <w:t>en deux groupes</w:t>
      </w:r>
      <w:r w:rsidR="00640C98" w:rsidRPr="00640C98">
        <w:rPr>
          <w:rFonts w:ascii="Arial" w:hAnsi="Arial" w:cs="Arial"/>
          <w:spacing w:val="-4"/>
        </w:rPr>
        <w:t> :</w:t>
      </w:r>
      <w:r w:rsidRPr="00640C98">
        <w:rPr>
          <w:rFonts w:ascii="Arial" w:hAnsi="Arial" w:cs="Arial"/>
          <w:spacing w:val="-4"/>
        </w:rPr>
        <w:t xml:space="preserve"> "réduire le risque" et "réduire le plus possible l’empreinte environnementale".</w:t>
      </w:r>
    </w:p>
    <w:p w14:paraId="49577DDE" w14:textId="77777777" w:rsidR="00BA2404" w:rsidRPr="00F048CC" w:rsidRDefault="00BA2404" w:rsidP="00640C98">
      <w:pPr>
        <w:spacing w:before="120" w:after="0" w:line="240" w:lineRule="auto"/>
        <w:jc w:val="right"/>
        <w:rPr>
          <w:rFonts w:ascii="Arial" w:hAnsi="Arial" w:cs="Arial"/>
        </w:rPr>
      </w:pPr>
      <w:r w:rsidRPr="00F048CC">
        <w:rPr>
          <w:rFonts w:ascii="Arial" w:hAnsi="Arial" w:cs="Arial"/>
        </w:rPr>
        <w:t xml:space="preserve">D’après </w:t>
      </w:r>
      <w:r w:rsidRPr="00640C98">
        <w:rPr>
          <w:rFonts w:ascii="Arial" w:hAnsi="Arial" w:cs="Arial"/>
          <w:color w:val="0070C0"/>
          <w:u w:val="single"/>
        </w:rPr>
        <w:t>https://www.sigmaaldrich.com/</w:t>
      </w:r>
    </w:p>
    <w:p w14:paraId="5A990D7A" w14:textId="5C036178" w:rsidR="009967C5" w:rsidRPr="00F048CC" w:rsidRDefault="009967C5" w:rsidP="00640C98">
      <w:pPr>
        <w:spacing w:after="0" w:line="240" w:lineRule="auto"/>
        <w:jc w:val="center"/>
        <w:rPr>
          <w:rFonts w:ascii="Arial" w:hAnsi="Arial" w:cs="Arial"/>
        </w:rPr>
      </w:pPr>
      <w:r w:rsidRPr="00F048CC">
        <w:rPr>
          <w:rFonts w:ascii="Arial" w:hAnsi="Arial" w:cs="Arial"/>
          <w:noProof/>
        </w:rPr>
        <w:drawing>
          <wp:inline distT="0" distB="0" distL="0" distR="0" wp14:anchorId="07461B3B" wp14:editId="54C49F90">
            <wp:extent cx="3237143" cy="3143250"/>
            <wp:effectExtent l="0" t="0" r="190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63" cy="31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9127" w14:textId="514EE44C" w:rsidR="00BA2404" w:rsidRDefault="00BA2404" w:rsidP="00640C98">
      <w:pPr>
        <w:spacing w:before="60" w:after="0" w:line="240" w:lineRule="auto"/>
        <w:jc w:val="center"/>
        <w:rPr>
          <w:rFonts w:ascii="Arial" w:hAnsi="Arial" w:cs="Arial"/>
        </w:rPr>
      </w:pPr>
      <w:r w:rsidRPr="00F048CC">
        <w:rPr>
          <w:rFonts w:ascii="Arial" w:hAnsi="Arial" w:cs="Arial"/>
        </w:rPr>
        <w:t>Figure 1. Schéma illustrant quelques principes directeurs de la chimie verte</w:t>
      </w:r>
    </w:p>
    <w:p w14:paraId="59685C2F" w14:textId="77777777" w:rsidR="00640C98" w:rsidRPr="00F048CC" w:rsidRDefault="00640C98" w:rsidP="00C17CE7">
      <w:pPr>
        <w:spacing w:after="0" w:line="240" w:lineRule="auto"/>
        <w:jc w:val="both"/>
        <w:rPr>
          <w:rFonts w:ascii="Arial" w:hAnsi="Arial" w:cs="Arial"/>
        </w:rPr>
      </w:pPr>
    </w:p>
    <w:p w14:paraId="2E57E32D" w14:textId="46ECA3E3" w:rsidR="004410FC" w:rsidRPr="00F048CC" w:rsidRDefault="00BA2404" w:rsidP="00640C9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40C98">
        <w:rPr>
          <w:rFonts w:ascii="Arial" w:hAnsi="Arial" w:cs="Arial"/>
          <w:b/>
          <w:bCs/>
        </w:rPr>
        <w:t>Q10.</w:t>
      </w:r>
      <w:r w:rsidR="00640C98">
        <w:rPr>
          <w:rFonts w:ascii="Arial" w:hAnsi="Arial" w:cs="Arial"/>
        </w:rPr>
        <w:tab/>
      </w:r>
      <w:r w:rsidRPr="00F048CC">
        <w:rPr>
          <w:rFonts w:ascii="Arial" w:hAnsi="Arial" w:cs="Arial"/>
        </w:rPr>
        <w:t>À l’aide de la figure 1, identifier, en le justifiant, quel protocole répond le mieux aux principes directeurs</w:t>
      </w:r>
      <w:r w:rsidR="00640C98">
        <w:rPr>
          <w:rFonts w:ascii="Arial" w:hAnsi="Arial" w:cs="Arial"/>
        </w:rPr>
        <w:t xml:space="preserve"> </w:t>
      </w:r>
      <w:r w:rsidRPr="00F048CC">
        <w:rPr>
          <w:rFonts w:ascii="Arial" w:hAnsi="Arial" w:cs="Arial"/>
        </w:rPr>
        <w:t>de la chimie verte.</w:t>
      </w:r>
    </w:p>
    <w:sectPr w:rsidR="004410FC" w:rsidRPr="00F048C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DE0"/>
    <w:multiLevelType w:val="hybridMultilevel"/>
    <w:tmpl w:val="5F7C8144"/>
    <w:lvl w:ilvl="0" w:tplc="AF5E3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FA"/>
    <w:multiLevelType w:val="hybridMultilevel"/>
    <w:tmpl w:val="A7D6661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35039"/>
    <w:multiLevelType w:val="hybridMultilevel"/>
    <w:tmpl w:val="DA6E69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25D1"/>
    <w:multiLevelType w:val="hybridMultilevel"/>
    <w:tmpl w:val="E8FCB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2"/>
  </w:num>
  <w:num w:numId="2" w16cid:durableId="147598150">
    <w:abstractNumId w:val="23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4"/>
  </w:num>
  <w:num w:numId="6" w16cid:durableId="1209610847">
    <w:abstractNumId w:val="5"/>
  </w:num>
  <w:num w:numId="7" w16cid:durableId="1069693144">
    <w:abstractNumId w:val="21"/>
  </w:num>
  <w:num w:numId="8" w16cid:durableId="2051689700">
    <w:abstractNumId w:val="18"/>
  </w:num>
  <w:num w:numId="9" w16cid:durableId="216749121">
    <w:abstractNumId w:val="1"/>
  </w:num>
  <w:num w:numId="10" w16cid:durableId="745884451">
    <w:abstractNumId w:val="16"/>
  </w:num>
  <w:num w:numId="11" w16cid:durableId="1463964506">
    <w:abstractNumId w:val="24"/>
  </w:num>
  <w:num w:numId="12" w16cid:durableId="1430850099">
    <w:abstractNumId w:val="2"/>
  </w:num>
  <w:num w:numId="13" w16cid:durableId="220554775">
    <w:abstractNumId w:val="13"/>
  </w:num>
  <w:num w:numId="14" w16cid:durableId="363479020">
    <w:abstractNumId w:val="0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4"/>
  </w:num>
  <w:num w:numId="18" w16cid:durableId="714156316">
    <w:abstractNumId w:val="20"/>
  </w:num>
  <w:num w:numId="19" w16cid:durableId="1594509062">
    <w:abstractNumId w:val="17"/>
  </w:num>
  <w:num w:numId="20" w16cid:durableId="964115970">
    <w:abstractNumId w:val="6"/>
  </w:num>
  <w:num w:numId="21" w16cid:durableId="1763719716">
    <w:abstractNumId w:val="9"/>
  </w:num>
  <w:num w:numId="22" w16cid:durableId="1102456756">
    <w:abstractNumId w:val="19"/>
  </w:num>
  <w:num w:numId="23" w16cid:durableId="313530854">
    <w:abstractNumId w:val="15"/>
  </w:num>
  <w:num w:numId="24" w16cid:durableId="1402026078">
    <w:abstractNumId w:val="12"/>
  </w:num>
  <w:num w:numId="25" w16cid:durableId="1042054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42394"/>
    <w:rsid w:val="0014723E"/>
    <w:rsid w:val="0016085B"/>
    <w:rsid w:val="001823D0"/>
    <w:rsid w:val="001A533E"/>
    <w:rsid w:val="001C238A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C71DB"/>
    <w:rsid w:val="005847DE"/>
    <w:rsid w:val="005B0CDD"/>
    <w:rsid w:val="00603DC8"/>
    <w:rsid w:val="00603F7B"/>
    <w:rsid w:val="00625CB6"/>
    <w:rsid w:val="00640C98"/>
    <w:rsid w:val="00675FAC"/>
    <w:rsid w:val="006D1F2D"/>
    <w:rsid w:val="0076419B"/>
    <w:rsid w:val="00772069"/>
    <w:rsid w:val="0087301A"/>
    <w:rsid w:val="008F1CC1"/>
    <w:rsid w:val="00974E49"/>
    <w:rsid w:val="009967C5"/>
    <w:rsid w:val="009C65EF"/>
    <w:rsid w:val="009F1C22"/>
    <w:rsid w:val="00A86B99"/>
    <w:rsid w:val="00AC0230"/>
    <w:rsid w:val="00AE2D23"/>
    <w:rsid w:val="00AE71C8"/>
    <w:rsid w:val="00B01CD2"/>
    <w:rsid w:val="00B158CD"/>
    <w:rsid w:val="00B46774"/>
    <w:rsid w:val="00BA2404"/>
    <w:rsid w:val="00C045DE"/>
    <w:rsid w:val="00C17CE7"/>
    <w:rsid w:val="00C507C4"/>
    <w:rsid w:val="00C73CD9"/>
    <w:rsid w:val="00CD6C6A"/>
    <w:rsid w:val="00DA2CE7"/>
    <w:rsid w:val="00E84100"/>
    <w:rsid w:val="00EB63DF"/>
    <w:rsid w:val="00F048CC"/>
    <w:rsid w:val="00F0583B"/>
    <w:rsid w:val="00F15380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2024-04-19T14:17:00Z</dcterms:created>
  <dcterms:modified xsi:type="dcterms:W3CDTF">2024-04-19T14:17:00Z</dcterms:modified>
</cp:coreProperties>
</file>