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675C25D9" w:rsidR="00040449" w:rsidRDefault="001E7045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4F0F3C">
        <w:rPr>
          <w:rFonts w:ascii="Arial" w:hAnsi="Arial" w:cs="Arial"/>
          <w:b/>
          <w:bCs/>
          <w:sz w:val="24"/>
          <w:szCs w:val="24"/>
        </w:rPr>
        <w:t>3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 </w:t>
      </w:r>
      <w:r w:rsidR="00CB4F84">
        <w:rPr>
          <w:rFonts w:ascii="Arial" w:hAnsi="Arial" w:cs="Arial"/>
          <w:b/>
          <w:bCs/>
          <w:sz w:val="24"/>
          <w:szCs w:val="24"/>
        </w:rPr>
        <w:t>Nouvelle-Calédonie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4F0F3C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6C438228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B4F84">
        <w:rPr>
          <w:rFonts w:ascii="Arial" w:hAnsi="Arial" w:cs="Arial"/>
          <w:b/>
          <w:bCs/>
          <w:sz w:val="24"/>
          <w:szCs w:val="24"/>
        </w:rPr>
        <w:t>I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4F0F3C">
        <w:rPr>
          <w:rFonts w:ascii="Arial" w:hAnsi="Arial" w:cs="Arial"/>
          <w:b/>
          <w:bCs/>
          <w:sz w:val="24"/>
          <w:szCs w:val="24"/>
        </w:rPr>
        <w:t>9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5F256672" w:rsidR="00EB63DF" w:rsidRPr="002C27A0" w:rsidRDefault="004F0F3C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un polymère biodégradable, le PLA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5DF10E4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0096C" w14:textId="77777777" w:rsidR="004F0F3C" w:rsidRPr="004F0F3C" w:rsidRDefault="004F0F3C" w:rsidP="00547BC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F0F3C">
        <w:rPr>
          <w:rFonts w:ascii="Arial" w:hAnsi="Arial" w:cs="Arial"/>
          <w:b/>
          <w:bCs/>
          <w:sz w:val="24"/>
          <w:szCs w:val="24"/>
          <w:u w:val="single"/>
        </w:rPr>
        <w:t>Données :</w:t>
      </w:r>
    </w:p>
    <w:p w14:paraId="02D0B05F" w14:textId="38DFE110" w:rsidR="004F0F3C" w:rsidRPr="004F0F3C" w:rsidRDefault="004F0F3C" w:rsidP="00547BC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Masse molaire de l’acide lactique</w:t>
      </w:r>
      <w:r w:rsidR="00D3344E">
        <w:rPr>
          <w:rFonts w:ascii="Arial" w:hAnsi="Arial" w:cs="Arial"/>
          <w:sz w:val="24"/>
          <w:szCs w:val="24"/>
        </w:rPr>
        <w:t> :</w:t>
      </w:r>
      <w:r w:rsidRPr="004F0F3C">
        <w:rPr>
          <w:rFonts w:ascii="Arial" w:hAnsi="Arial" w:cs="Arial"/>
          <w:sz w:val="24"/>
          <w:szCs w:val="24"/>
        </w:rPr>
        <w:t xml:space="preserve"> </w:t>
      </w:r>
      <w:r w:rsidR="00D3344E" w:rsidRPr="00D3344E">
        <w:rPr>
          <w:rFonts w:ascii="Arial" w:hAnsi="Arial" w:cs="Arial"/>
          <w:i/>
          <w:iCs/>
          <w:sz w:val="24"/>
          <w:szCs w:val="24"/>
        </w:rPr>
        <w:t>M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= 90,1 g · mol</w:t>
      </w:r>
      <w:r w:rsidRPr="00D3344E">
        <w:rPr>
          <w:rFonts w:ascii="Arial" w:hAnsi="Arial" w:cs="Arial"/>
          <w:sz w:val="24"/>
          <w:szCs w:val="24"/>
          <w:vertAlign w:val="superscript"/>
        </w:rPr>
        <w:t>−1</w:t>
      </w:r>
      <w:r w:rsidR="00D3344E">
        <w:rPr>
          <w:rFonts w:ascii="Arial" w:hAnsi="Arial" w:cs="Arial"/>
          <w:sz w:val="24"/>
          <w:szCs w:val="24"/>
        </w:rPr>
        <w:t xml:space="preserve"> </w:t>
      </w:r>
    </w:p>
    <w:p w14:paraId="1B0ACE15" w14:textId="60ED89CE" w:rsidR="004F0F3C" w:rsidRPr="004F0F3C" w:rsidRDefault="004F0F3C" w:rsidP="00547BC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Calculs d’incertitudes</w:t>
      </w:r>
      <w:r w:rsidR="00D3344E">
        <w:rPr>
          <w:rFonts w:ascii="Arial" w:hAnsi="Arial" w:cs="Arial"/>
          <w:sz w:val="24"/>
          <w:szCs w:val="24"/>
        </w:rPr>
        <w:t> :</w:t>
      </w:r>
    </w:p>
    <w:p w14:paraId="33C26EA7" w14:textId="61D5164E" w:rsidR="004F0F3C" w:rsidRPr="00D3344E" w:rsidRDefault="004F0F3C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3344E">
        <w:rPr>
          <w:rFonts w:ascii="Arial" w:hAnsi="Arial" w:cs="Arial"/>
          <w:sz w:val="24"/>
          <w:szCs w:val="24"/>
        </w:rPr>
        <w:t>Dans les conditions de l’expérience, les incertitudes-type sur la concentration de la solution</w:t>
      </w:r>
      <w:r w:rsidR="00D3344E" w:rsidRPr="00D3344E">
        <w:rPr>
          <w:rFonts w:ascii="Arial" w:hAnsi="Arial" w:cs="Arial"/>
          <w:sz w:val="24"/>
          <w:szCs w:val="24"/>
        </w:rPr>
        <w:t xml:space="preserve"> </w:t>
      </w:r>
      <w:r w:rsidRPr="00D3344E">
        <w:rPr>
          <w:rFonts w:ascii="Arial" w:hAnsi="Arial" w:cs="Arial"/>
          <w:sz w:val="24"/>
          <w:szCs w:val="24"/>
        </w:rPr>
        <w:t>(S</w:t>
      </w:r>
      <w:r w:rsidRPr="00D3344E">
        <w:rPr>
          <w:rFonts w:ascii="Arial" w:hAnsi="Arial" w:cs="Arial"/>
          <w:sz w:val="24"/>
          <w:szCs w:val="24"/>
          <w:vertAlign w:val="subscript"/>
        </w:rPr>
        <w:t>2</w:t>
      </w:r>
      <w:r w:rsidRPr="00D3344E">
        <w:rPr>
          <w:rFonts w:ascii="Arial" w:hAnsi="Arial" w:cs="Arial"/>
          <w:sz w:val="24"/>
          <w:szCs w:val="24"/>
        </w:rPr>
        <w:t xml:space="preserve">) d’hydroxyde de sodium et sur la valeur de </w:t>
      </w:r>
      <w:r w:rsidR="00CA6E2C" w:rsidRPr="00CA6E2C">
        <w:rPr>
          <w:rFonts w:ascii="Arial" w:hAnsi="Arial" w:cs="Arial"/>
          <w:i/>
          <w:iCs/>
          <w:sz w:val="24"/>
          <w:szCs w:val="24"/>
        </w:rPr>
        <w:t>V</w:t>
      </w:r>
      <w:r w:rsidRPr="00CA6E2C">
        <w:rPr>
          <w:rFonts w:ascii="Arial" w:hAnsi="Arial" w:cs="Arial"/>
          <w:sz w:val="24"/>
          <w:szCs w:val="24"/>
          <w:vertAlign w:val="subscript"/>
        </w:rPr>
        <w:t>eq</w:t>
      </w:r>
      <w:r w:rsidRPr="00D3344E">
        <w:rPr>
          <w:rFonts w:ascii="Arial" w:hAnsi="Arial" w:cs="Arial"/>
          <w:sz w:val="24"/>
          <w:szCs w:val="24"/>
        </w:rPr>
        <w:t xml:space="preserve"> sont les suivantes</w:t>
      </w:r>
      <w:r w:rsidR="00D3344E" w:rsidRPr="00D3344E">
        <w:rPr>
          <w:rFonts w:ascii="Arial" w:hAnsi="Arial" w:cs="Arial"/>
          <w:sz w:val="24"/>
          <w:szCs w:val="24"/>
        </w:rPr>
        <w:t> :</w:t>
      </w:r>
    </w:p>
    <w:p w14:paraId="451BDB61" w14:textId="0B8E0F97" w:rsidR="004F0F3C" w:rsidRPr="004F0F3C" w:rsidRDefault="00AD4E54" w:rsidP="00547BC8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</w:t>
      </w:r>
      <w:r w:rsidR="00CA6E2C">
        <w:rPr>
          <w:rFonts w:ascii="Arial" w:hAnsi="Arial" w:cs="Arial"/>
          <w:sz w:val="24"/>
          <w:szCs w:val="24"/>
        </w:rPr>
        <w:t>(</w:t>
      </w:r>
      <w:r w:rsidR="00CA6E2C" w:rsidRPr="00D3344E">
        <w:rPr>
          <w:rFonts w:ascii="Arial" w:hAnsi="Arial" w:cs="Arial"/>
          <w:i/>
          <w:iCs/>
          <w:sz w:val="24"/>
          <w:szCs w:val="24"/>
        </w:rPr>
        <w:t>C</w:t>
      </w:r>
      <w:r w:rsidR="00CA6E2C">
        <w:rPr>
          <w:rFonts w:ascii="Arial" w:hAnsi="Arial" w:cs="Arial"/>
          <w:sz w:val="24"/>
          <w:szCs w:val="24"/>
          <w:vertAlign w:val="subscript"/>
        </w:rPr>
        <w:t>2</w:t>
      </w:r>
      <w:r w:rsidR="00CA6E2C">
        <w:rPr>
          <w:rFonts w:ascii="Arial" w:hAnsi="Arial" w:cs="Arial"/>
          <w:sz w:val="24"/>
          <w:szCs w:val="24"/>
        </w:rPr>
        <w:t xml:space="preserve">) </w:t>
      </w:r>
      <w:r w:rsidR="004F0F3C" w:rsidRPr="004F0F3C">
        <w:rPr>
          <w:rFonts w:ascii="Arial" w:hAnsi="Arial" w:cs="Arial"/>
          <w:sz w:val="24"/>
          <w:szCs w:val="24"/>
        </w:rPr>
        <w:t>= 0,02 × 10</w:t>
      </w:r>
      <w:r w:rsidR="004F0F3C" w:rsidRPr="00CA6E2C">
        <w:rPr>
          <w:rFonts w:ascii="Arial" w:hAnsi="Arial" w:cs="Arial"/>
          <w:sz w:val="24"/>
          <w:szCs w:val="24"/>
          <w:vertAlign w:val="superscript"/>
        </w:rPr>
        <w:t>−1</w:t>
      </w:r>
      <w:r w:rsidR="004F0F3C" w:rsidRPr="004F0F3C">
        <w:rPr>
          <w:rFonts w:ascii="Arial" w:hAnsi="Arial" w:cs="Arial"/>
          <w:sz w:val="24"/>
          <w:szCs w:val="24"/>
        </w:rPr>
        <w:t xml:space="preserve"> mol ∙ L</w:t>
      </w:r>
      <w:r w:rsidR="004F0F3C" w:rsidRPr="00CA6E2C">
        <w:rPr>
          <w:rFonts w:ascii="Arial" w:hAnsi="Arial" w:cs="Arial"/>
          <w:sz w:val="24"/>
          <w:szCs w:val="24"/>
          <w:vertAlign w:val="superscript"/>
        </w:rPr>
        <w:t>−1</w:t>
      </w:r>
      <w:r w:rsidR="004F0F3C" w:rsidRPr="004F0F3C">
        <w:rPr>
          <w:rFonts w:ascii="Arial" w:hAnsi="Arial" w:cs="Arial"/>
          <w:sz w:val="24"/>
          <w:szCs w:val="24"/>
        </w:rPr>
        <w:t xml:space="preserve"> </w:t>
      </w:r>
      <w:r w:rsidR="00CA6E2C">
        <w:rPr>
          <w:rFonts w:ascii="Arial" w:hAnsi="Arial" w:cs="Arial"/>
          <w:sz w:val="24"/>
          <w:szCs w:val="24"/>
        </w:rPr>
        <w:t xml:space="preserve">         </w:t>
      </w:r>
      <w:r w:rsidR="00CA6E2C" w:rsidRPr="00AD4E54">
        <w:rPr>
          <w:rFonts w:ascii="Arial" w:hAnsi="Arial" w:cs="Arial"/>
          <w:i/>
          <w:iCs/>
          <w:sz w:val="24"/>
          <w:szCs w:val="24"/>
        </w:rPr>
        <w:t>u</w:t>
      </w:r>
      <w:r w:rsidR="004F0F3C" w:rsidRPr="004F0F3C">
        <w:rPr>
          <w:rFonts w:ascii="Arial" w:hAnsi="Arial" w:cs="Arial"/>
          <w:sz w:val="24"/>
          <w:szCs w:val="24"/>
        </w:rPr>
        <w:t>(</w:t>
      </w:r>
      <w:r w:rsidR="00CA6E2C" w:rsidRPr="00CA6E2C">
        <w:rPr>
          <w:rFonts w:ascii="Arial" w:hAnsi="Arial" w:cs="Arial"/>
          <w:i/>
          <w:iCs/>
          <w:sz w:val="24"/>
          <w:szCs w:val="24"/>
        </w:rPr>
        <w:t>V</w:t>
      </w:r>
      <w:r w:rsidR="00CA6E2C" w:rsidRPr="00CA6E2C">
        <w:rPr>
          <w:rFonts w:ascii="Arial" w:hAnsi="Arial" w:cs="Arial"/>
          <w:sz w:val="24"/>
          <w:szCs w:val="24"/>
          <w:vertAlign w:val="subscript"/>
        </w:rPr>
        <w:t>eq</w:t>
      </w:r>
      <w:r w:rsidR="004F0F3C" w:rsidRPr="004F0F3C">
        <w:rPr>
          <w:rFonts w:ascii="Arial" w:hAnsi="Arial" w:cs="Arial"/>
          <w:sz w:val="24"/>
          <w:szCs w:val="24"/>
        </w:rPr>
        <w:t>) = 0,25 mL</w:t>
      </w:r>
    </w:p>
    <w:p w14:paraId="58BBE27E" w14:textId="6E0834FE" w:rsidR="004F0F3C" w:rsidRPr="00D3344E" w:rsidRDefault="004F0F3C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D3344E">
        <w:rPr>
          <w:rFonts w:ascii="Arial" w:hAnsi="Arial" w:cs="Arial"/>
          <w:sz w:val="24"/>
          <w:szCs w:val="24"/>
        </w:rPr>
        <w:t>Incertitudes-type de quelques éléments de verrerie, à 20 °C</w:t>
      </w:r>
      <w:r w:rsidR="00CA6E2C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2457"/>
        <w:gridCol w:w="2457"/>
        <w:gridCol w:w="2457"/>
      </w:tblGrid>
      <w:tr w:rsidR="00CA6E2C" w14:paraId="57CF28AF" w14:textId="77777777" w:rsidTr="00CA6E2C"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48F85860" w14:textId="315DF933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Pipette jaugée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7A634053" w14:textId="298E5FC7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Burette graduée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4CA7AE1B" w14:textId="117831F3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Fiole jaugée</w:t>
            </w:r>
          </w:p>
        </w:tc>
      </w:tr>
      <w:tr w:rsidR="00CA6E2C" w14:paraId="7D9C0D6D" w14:textId="77777777" w:rsidTr="00CA6E2C">
        <w:tc>
          <w:tcPr>
            <w:tcW w:w="2457" w:type="dxa"/>
          </w:tcPr>
          <w:p w14:paraId="406346E1" w14:textId="5CA5A0D4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4F0F3C">
              <w:rPr>
                <w:rFonts w:ascii="Arial" w:hAnsi="Arial" w:cs="Arial"/>
                <w:sz w:val="24"/>
                <w:szCs w:val="24"/>
              </w:rPr>
              <w:t>,00 ± 0,0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F0F3C">
              <w:rPr>
                <w:rFonts w:ascii="Arial" w:hAnsi="Arial" w:cs="Arial"/>
                <w:sz w:val="24"/>
                <w:szCs w:val="24"/>
              </w:rPr>
              <w:t xml:space="preserve"> mL</w:t>
            </w:r>
          </w:p>
          <w:p w14:paraId="177974E7" w14:textId="4866BD57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4F0F3C">
              <w:rPr>
                <w:rFonts w:ascii="Arial" w:hAnsi="Arial" w:cs="Arial"/>
                <w:sz w:val="24"/>
                <w:szCs w:val="24"/>
              </w:rPr>
              <w:t>,00 ± 0,0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F0F3C">
              <w:rPr>
                <w:rFonts w:ascii="Arial" w:hAnsi="Arial" w:cs="Arial"/>
                <w:sz w:val="24"/>
                <w:szCs w:val="24"/>
              </w:rPr>
              <w:t xml:space="preserve"> mL</w:t>
            </w:r>
          </w:p>
          <w:p w14:paraId="4158AA79" w14:textId="7169B25B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F0F3C">
              <w:rPr>
                <w:rFonts w:ascii="Arial" w:hAnsi="Arial" w:cs="Arial"/>
                <w:sz w:val="24"/>
                <w:szCs w:val="24"/>
              </w:rPr>
              <w:t>5,00 ± 0,0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F0F3C">
              <w:rPr>
                <w:rFonts w:ascii="Arial" w:hAnsi="Arial" w:cs="Arial"/>
                <w:sz w:val="24"/>
                <w:szCs w:val="24"/>
              </w:rPr>
              <w:t xml:space="preserve"> mL</w:t>
            </w:r>
          </w:p>
        </w:tc>
        <w:tc>
          <w:tcPr>
            <w:tcW w:w="2457" w:type="dxa"/>
          </w:tcPr>
          <w:p w14:paraId="30ABC662" w14:textId="77777777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25,00 ± 0,05 mL</w:t>
            </w:r>
          </w:p>
          <w:p w14:paraId="0190C930" w14:textId="7D89F5E8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50,00 ± 0,10 mL</w:t>
            </w:r>
          </w:p>
        </w:tc>
        <w:tc>
          <w:tcPr>
            <w:tcW w:w="2457" w:type="dxa"/>
          </w:tcPr>
          <w:p w14:paraId="3D3C2E80" w14:textId="68229A31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F0F3C">
              <w:rPr>
                <w:rFonts w:ascii="Arial" w:hAnsi="Arial" w:cs="Arial"/>
                <w:sz w:val="24"/>
                <w:szCs w:val="24"/>
              </w:rPr>
              <w:t>00,0 ± 0,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F0F3C">
              <w:rPr>
                <w:rFonts w:ascii="Arial" w:hAnsi="Arial" w:cs="Arial"/>
                <w:sz w:val="24"/>
                <w:szCs w:val="24"/>
              </w:rPr>
              <w:t xml:space="preserve"> mL</w:t>
            </w:r>
          </w:p>
          <w:p w14:paraId="2A82F920" w14:textId="6166BBB6" w:rsidR="00CA6E2C" w:rsidRDefault="00CA6E2C" w:rsidP="00CA6E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200,0 ± 0,2 mL</w:t>
            </w:r>
          </w:p>
        </w:tc>
      </w:tr>
    </w:tbl>
    <w:p w14:paraId="4CC12E1F" w14:textId="4581B2F9" w:rsidR="00CA6E2C" w:rsidRPr="00D3344E" w:rsidRDefault="00CA6E2C" w:rsidP="00547BC8">
      <w:pPr>
        <w:pStyle w:val="Paragraphedeliste"/>
        <w:numPr>
          <w:ilvl w:val="0"/>
          <w:numId w:val="28"/>
        </w:numPr>
        <w:tabs>
          <w:tab w:val="left" w:pos="567"/>
        </w:tabs>
        <w:spacing w:before="60" w:after="6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L’incertitude-type sur la concentration de la solution (S</w:t>
      </w:r>
      <w:r>
        <w:rPr>
          <w:rFonts w:ascii="Arial" w:hAnsi="Arial" w:cs="Arial"/>
          <w:sz w:val="24"/>
          <w:szCs w:val="24"/>
          <w:vertAlign w:val="subscript"/>
        </w:rPr>
        <w:t>0</w:t>
      </w:r>
      <w:r w:rsidRPr="004F0F3C">
        <w:rPr>
          <w:rFonts w:ascii="Arial" w:hAnsi="Arial" w:cs="Arial"/>
          <w:sz w:val="24"/>
          <w:szCs w:val="24"/>
        </w:rPr>
        <w:t>) d’acide lactique peut être obtenue</w:t>
      </w:r>
      <w:r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grâce à la relation suivante</w:t>
      </w:r>
      <w:r>
        <w:rPr>
          <w:rFonts w:ascii="Arial" w:hAnsi="Arial" w:cs="Arial"/>
          <w:sz w:val="24"/>
          <w:szCs w:val="24"/>
        </w:rPr>
        <w:t xml:space="preserve"> :   </w:t>
      </w:r>
      <m:oMath>
        <m:r>
          <m:rPr>
            <m:nor/>
          </m:rPr>
          <w:rPr>
            <w:rFonts w:ascii="Arial" w:hAnsi="Arial" w:cs="Arial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0</m:t>
                </m:r>
              </m:sub>
            </m:sSub>
          </m:e>
        </m:d>
        <m:r>
          <m:rPr>
            <m:nor/>
          </m:rPr>
          <w:rPr>
            <w:rFonts w:ascii="Arial" w:hAnsi="Arial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C</m:t>
            </m:r>
          </m:e>
          <m:sub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0</m:t>
            </m:r>
          </m:sub>
        </m:sSub>
        <m:r>
          <m:rPr>
            <m:nor/>
          </m:rPr>
          <w:rPr>
            <w:rFonts w:ascii="Arial" w:hAnsi="Arial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m:t>eq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m:t>eq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i/>
                            <w:iCs/>
                            <w:sz w:val="24"/>
                            <w:szCs w:val="24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14:paraId="3D2C6EE5" w14:textId="722C7233" w:rsidR="00632BDB" w:rsidRPr="00D3344E" w:rsidRDefault="00632BDB" w:rsidP="00632BDB">
      <w:pPr>
        <w:pStyle w:val="Paragraphedeliste"/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 xml:space="preserve">Afin de vérifier la compatibilité entre une valeur expérimentale </w:t>
      </w:r>
      <w:r w:rsidRPr="00D3344E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0</w:t>
      </w:r>
      <w:r w:rsidRPr="004F0F3C">
        <w:rPr>
          <w:rFonts w:ascii="Arial" w:hAnsi="Arial" w:cs="Arial"/>
          <w:sz w:val="24"/>
          <w:szCs w:val="24"/>
        </w:rPr>
        <w:t xml:space="preserve"> et une valeur de</w:t>
      </w:r>
      <w:r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référence</w:t>
      </w:r>
      <w:r w:rsidR="00547BC8">
        <w:rPr>
          <w:rFonts w:ascii="Arial" w:hAnsi="Arial" w:cs="Arial"/>
          <w:sz w:val="24"/>
          <w:szCs w:val="24"/>
        </w:rPr>
        <w:t> </w:t>
      </w:r>
      <w:r w:rsidRPr="00D3344E"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  <w:vertAlign w:val="subscript"/>
        </w:rPr>
        <w:t>0,réf</w:t>
      </w:r>
      <w:r w:rsidRPr="004F0F3C">
        <w:rPr>
          <w:rFonts w:ascii="Arial" w:hAnsi="Arial" w:cs="Arial"/>
          <w:sz w:val="24"/>
          <w:szCs w:val="24"/>
        </w:rPr>
        <w:t>, on calcule le rapport, appelé écart normalisé</w:t>
      </w:r>
      <w:r>
        <w:rPr>
          <w:rFonts w:ascii="Arial" w:hAnsi="Arial" w:cs="Arial"/>
          <w:sz w:val="24"/>
          <w:szCs w:val="24"/>
        </w:rPr>
        <w:t xml:space="preserve"> : </w:t>
      </w:r>
      <m:oMath>
        <m:r>
          <m:rPr>
            <m:nor/>
          </m:rPr>
          <w:rPr>
            <w:rFonts w:ascii="Arial" w:hAnsi="Arial" w:cs="Arial"/>
            <w:sz w:val="24"/>
            <w:szCs w:val="24"/>
          </w:rPr>
          <m:t>z</m:t>
        </m:r>
        <m:r>
          <m:rPr>
            <m:nor/>
          </m:rPr>
          <w:rPr>
            <w:rFonts w:ascii="Cambria Math" w:hAnsi="Arial" w:cs="Arial"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sz w:val="24"/>
            <w:szCs w:val="24"/>
          </w:rPr>
          <m:t>=</m:t>
        </m:r>
        <m:r>
          <m:rPr>
            <m:nor/>
          </m:rPr>
          <w:rPr>
            <w:rFonts w:ascii="Cambria Math" w:hAnsi="Arial" w:cs="Arial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0</m:t>
                    </m:r>
                  </m:sub>
                </m:sSub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0,réf</m:t>
                    </m:r>
                  </m:sub>
                </m:sSub>
              </m:e>
            </m:d>
          </m:num>
          <m:den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u</m:t>
            </m:r>
            <m:d>
              <m:d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Arial" w:hAnsi="Arial" w:cs="Arial"/>
                        <w:i/>
                        <w:iCs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</m:den>
        </m:f>
      </m:oMath>
      <w:r w:rsidR="00B30C3C">
        <w:rPr>
          <w:rFonts w:ascii="Arial" w:eastAsiaTheme="minorEastAsia" w:hAnsi="Arial" w:cs="Arial"/>
          <w:sz w:val="24"/>
          <w:szCs w:val="24"/>
        </w:rPr>
        <w:t>.</w:t>
      </w:r>
    </w:p>
    <w:p w14:paraId="471FDF9D" w14:textId="77777777" w:rsidR="004F0F3C" w:rsidRPr="004F0F3C" w:rsidRDefault="004F0F3C" w:rsidP="00B30C3C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Si z ≤ 2, la valeur expérimentale et la valeur de référence sont jugées compatibles.</w:t>
      </w:r>
    </w:p>
    <w:p w14:paraId="291E3351" w14:textId="77777777" w:rsidR="00B30C3C" w:rsidRDefault="00B30C3C" w:rsidP="00B30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4DF6FE" w14:textId="77777777" w:rsidR="001A66CB" w:rsidRPr="004F0F3C" w:rsidRDefault="001A66CB" w:rsidP="00547BC8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Indicateurs colorés</w:t>
      </w:r>
      <w:r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Ind w:w="84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2959"/>
        <w:gridCol w:w="2126"/>
        <w:gridCol w:w="2995"/>
      </w:tblGrid>
      <w:tr w:rsidR="001A66CB" w14:paraId="131D0FC8" w14:textId="77777777" w:rsidTr="00547BC8">
        <w:trPr>
          <w:trHeight w:val="312"/>
        </w:trPr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1D2D669D" w14:textId="1C719CB1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Nom de l'indicateur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1C647CA" w14:textId="560E2BE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Zone de virage</w:t>
            </w:r>
          </w:p>
        </w:tc>
        <w:tc>
          <w:tcPr>
            <w:tcW w:w="2995" w:type="dxa"/>
            <w:shd w:val="clear" w:color="auto" w:fill="D9D9D9" w:themeFill="background1" w:themeFillShade="D9"/>
            <w:vAlign w:val="center"/>
          </w:tcPr>
          <w:p w14:paraId="5EBCFC04" w14:textId="46787672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Changement de couleur</w:t>
            </w:r>
          </w:p>
        </w:tc>
      </w:tr>
      <w:tr w:rsidR="001A66CB" w14:paraId="2ED0FD1C" w14:textId="77777777" w:rsidTr="00547BC8">
        <w:trPr>
          <w:trHeight w:val="312"/>
        </w:trPr>
        <w:tc>
          <w:tcPr>
            <w:tcW w:w="2959" w:type="dxa"/>
            <w:vAlign w:val="center"/>
          </w:tcPr>
          <w:p w14:paraId="5CF31577" w14:textId="09913589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Bleu de bromophénol</w:t>
            </w:r>
          </w:p>
        </w:tc>
        <w:tc>
          <w:tcPr>
            <w:tcW w:w="2126" w:type="dxa"/>
            <w:vAlign w:val="center"/>
          </w:tcPr>
          <w:p w14:paraId="748B5DB4" w14:textId="40ACEAAA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3,0 − 4,6</w:t>
            </w:r>
          </w:p>
        </w:tc>
        <w:tc>
          <w:tcPr>
            <w:tcW w:w="2995" w:type="dxa"/>
            <w:vAlign w:val="center"/>
          </w:tcPr>
          <w:p w14:paraId="2196BCAD" w14:textId="6A77EB48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jaune - bleu</w:t>
            </w:r>
          </w:p>
        </w:tc>
      </w:tr>
      <w:tr w:rsidR="001A66CB" w14:paraId="3097161E" w14:textId="77777777" w:rsidTr="00547BC8">
        <w:trPr>
          <w:trHeight w:val="312"/>
        </w:trPr>
        <w:tc>
          <w:tcPr>
            <w:tcW w:w="2959" w:type="dxa"/>
            <w:vAlign w:val="center"/>
          </w:tcPr>
          <w:p w14:paraId="228AE0DB" w14:textId="6748DBBA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Hélianthine</w:t>
            </w:r>
          </w:p>
        </w:tc>
        <w:tc>
          <w:tcPr>
            <w:tcW w:w="2126" w:type="dxa"/>
            <w:vAlign w:val="center"/>
          </w:tcPr>
          <w:p w14:paraId="44E1088D" w14:textId="7E877709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3,1 − 4,4</w:t>
            </w:r>
          </w:p>
        </w:tc>
        <w:tc>
          <w:tcPr>
            <w:tcW w:w="2995" w:type="dxa"/>
            <w:vAlign w:val="center"/>
          </w:tcPr>
          <w:p w14:paraId="0811DEA5" w14:textId="5FFA5C96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rouge - jaune</w:t>
            </w:r>
          </w:p>
        </w:tc>
      </w:tr>
      <w:tr w:rsidR="001A66CB" w14:paraId="2DF97F57" w14:textId="77777777" w:rsidTr="00547BC8">
        <w:trPr>
          <w:trHeight w:val="312"/>
        </w:trPr>
        <w:tc>
          <w:tcPr>
            <w:tcW w:w="2959" w:type="dxa"/>
            <w:vAlign w:val="center"/>
          </w:tcPr>
          <w:p w14:paraId="2F383CE3" w14:textId="0EA25560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Vert de bromocrésol</w:t>
            </w:r>
          </w:p>
        </w:tc>
        <w:tc>
          <w:tcPr>
            <w:tcW w:w="2126" w:type="dxa"/>
            <w:vAlign w:val="center"/>
          </w:tcPr>
          <w:p w14:paraId="1B84AEF4" w14:textId="4FDF831A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3,8 − 5,4</w:t>
            </w:r>
          </w:p>
        </w:tc>
        <w:tc>
          <w:tcPr>
            <w:tcW w:w="2995" w:type="dxa"/>
            <w:vAlign w:val="center"/>
          </w:tcPr>
          <w:p w14:paraId="4C387BFD" w14:textId="4EAF72AC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jaune - bleu</w:t>
            </w:r>
          </w:p>
        </w:tc>
      </w:tr>
      <w:tr w:rsidR="001A66CB" w14:paraId="17B39371" w14:textId="77777777" w:rsidTr="00547BC8">
        <w:trPr>
          <w:trHeight w:val="312"/>
        </w:trPr>
        <w:tc>
          <w:tcPr>
            <w:tcW w:w="2959" w:type="dxa"/>
            <w:vAlign w:val="center"/>
          </w:tcPr>
          <w:p w14:paraId="5796EBB2" w14:textId="3550E38B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Rouge de crésol</w:t>
            </w:r>
          </w:p>
        </w:tc>
        <w:tc>
          <w:tcPr>
            <w:tcW w:w="2126" w:type="dxa"/>
            <w:vAlign w:val="center"/>
          </w:tcPr>
          <w:p w14:paraId="53DCE341" w14:textId="7367AB8E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7,2 − 8,8</w:t>
            </w:r>
          </w:p>
        </w:tc>
        <w:tc>
          <w:tcPr>
            <w:tcW w:w="2995" w:type="dxa"/>
            <w:vAlign w:val="center"/>
          </w:tcPr>
          <w:p w14:paraId="5C071B6A" w14:textId="1A43CFBC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jaune - rouge</w:t>
            </w:r>
          </w:p>
        </w:tc>
      </w:tr>
      <w:tr w:rsidR="001A66CB" w14:paraId="7274BD35" w14:textId="77777777" w:rsidTr="00547BC8">
        <w:trPr>
          <w:trHeight w:val="312"/>
        </w:trPr>
        <w:tc>
          <w:tcPr>
            <w:tcW w:w="2959" w:type="dxa"/>
            <w:vAlign w:val="center"/>
          </w:tcPr>
          <w:p w14:paraId="5F2C1909" w14:textId="5CDB1A05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Vert de malachite</w:t>
            </w:r>
          </w:p>
        </w:tc>
        <w:tc>
          <w:tcPr>
            <w:tcW w:w="2126" w:type="dxa"/>
            <w:vAlign w:val="center"/>
          </w:tcPr>
          <w:p w14:paraId="39C956F2" w14:textId="710590A0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11,5 − 13,2</w:t>
            </w:r>
          </w:p>
        </w:tc>
        <w:tc>
          <w:tcPr>
            <w:tcW w:w="2995" w:type="dxa"/>
            <w:vAlign w:val="center"/>
          </w:tcPr>
          <w:p w14:paraId="7C19523C" w14:textId="66A21320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vert - incolore</w:t>
            </w:r>
          </w:p>
        </w:tc>
      </w:tr>
    </w:tbl>
    <w:p w14:paraId="06A37E93" w14:textId="77777777" w:rsidR="00B30C3C" w:rsidRPr="004F0F3C" w:rsidRDefault="00B30C3C" w:rsidP="00B30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F455E4" w14:textId="20750540" w:rsidR="001A66CB" w:rsidRPr="004F0F3C" w:rsidRDefault="001A66CB" w:rsidP="00547BC8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Table de nombres d’onde associés aux bandes des spectres infrarouge</w:t>
      </w:r>
      <w:r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96"/>
        <w:gridCol w:w="3540"/>
        <w:gridCol w:w="3115"/>
        <w:gridCol w:w="1833"/>
      </w:tblGrid>
      <w:tr w:rsidR="001A66CB" w:rsidRPr="001A66CB" w14:paraId="463637A2" w14:textId="77777777" w:rsidTr="00547BC8">
        <w:tc>
          <w:tcPr>
            <w:tcW w:w="1698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665C1699" w14:textId="18630637" w:rsidR="001A66CB" w:rsidRPr="001A66CB" w:rsidRDefault="001A66CB" w:rsidP="001A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Liaison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75DBE93C" w14:textId="59FA781F" w:rsidR="001A66CB" w:rsidRPr="001A66CB" w:rsidRDefault="001A66CB" w:rsidP="001A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Type de composé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108F9417" w14:textId="49ADF25E" w:rsidR="001A66CB" w:rsidRPr="001A66CB" w:rsidRDefault="001A66CB" w:rsidP="001A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Nombre d'onde (en cm</w:t>
            </w:r>
            <w:r w:rsidRPr="001A66CB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4F0F3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6F310268" w14:textId="308941E1" w:rsidR="001A66CB" w:rsidRPr="001A66CB" w:rsidRDefault="001A66CB" w:rsidP="001A66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Commentaire</w:t>
            </w:r>
          </w:p>
        </w:tc>
      </w:tr>
      <w:tr w:rsidR="00547BC8" w14:paraId="3D17CF72" w14:textId="77777777" w:rsidTr="00547BC8">
        <w:tc>
          <w:tcPr>
            <w:tcW w:w="1698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29011267" w14:textId="562E1C4B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C – H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292BB703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0D18AD68" w14:textId="1745CA9D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 xml:space="preserve">2480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F0F3C">
              <w:rPr>
                <w:rFonts w:ascii="Arial" w:hAnsi="Arial" w:cs="Arial"/>
                <w:sz w:val="24"/>
                <w:szCs w:val="24"/>
              </w:rPr>
              <w:t xml:space="preserve"> 3000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uto"/>
              <w:right w:val="single" w:sz="8" w:space="0" w:color="A6A6A6" w:themeColor="background1" w:themeShade="A6"/>
            </w:tcBorders>
            <w:vAlign w:val="center"/>
          </w:tcPr>
          <w:p w14:paraId="06C134EB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6CB" w14:paraId="5BFDE726" w14:textId="77777777" w:rsidTr="00547BC8">
        <w:tc>
          <w:tcPr>
            <w:tcW w:w="1698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57E2B78" w14:textId="5D3C601C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 – H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4567960" w14:textId="6C7B26AE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alcool libre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47B4F75" w14:textId="6B7AA619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 xml:space="preserve">3580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F0F3C">
              <w:rPr>
                <w:rFonts w:ascii="Arial" w:hAnsi="Arial" w:cs="Arial"/>
                <w:sz w:val="24"/>
                <w:szCs w:val="24"/>
              </w:rPr>
              <w:t xml:space="preserve"> 3650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9A437CF" w14:textId="0016CF62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fine</w:t>
            </w:r>
          </w:p>
        </w:tc>
      </w:tr>
      <w:tr w:rsidR="001A66CB" w14:paraId="2E31E4E4" w14:textId="77777777" w:rsidTr="00547BC8">
        <w:tc>
          <w:tcPr>
            <w:tcW w:w="1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36998CAC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3BB68398" w14:textId="035E7D6E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alcool en liaison hydrogène</w:t>
            </w:r>
          </w:p>
        </w:tc>
        <w:tc>
          <w:tcPr>
            <w:tcW w:w="311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63E32147" w14:textId="5B430EB5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 xml:space="preserve">3200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4F0F3C">
              <w:rPr>
                <w:rFonts w:ascii="Arial" w:hAnsi="Arial" w:cs="Arial"/>
                <w:sz w:val="24"/>
                <w:szCs w:val="24"/>
              </w:rPr>
              <w:t xml:space="preserve"> 3550</w:t>
            </w:r>
          </w:p>
        </w:tc>
        <w:tc>
          <w:tcPr>
            <w:tcW w:w="183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1B809070" w14:textId="355CC66E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large</w:t>
            </w:r>
          </w:p>
        </w:tc>
      </w:tr>
      <w:tr w:rsidR="001A66CB" w14:paraId="75C30F03" w14:textId="77777777" w:rsidTr="00547BC8">
        <w:tc>
          <w:tcPr>
            <w:tcW w:w="1698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B26CE40" w14:textId="1D80CFA8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– 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AC35BC5" w14:textId="47E4B31D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éther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3A46B56" w14:textId="010087D1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1000 - 1250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5B682C1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6CB" w14:paraId="5E48F25E" w14:textId="77777777" w:rsidTr="00547BC8">
        <w:tc>
          <w:tcPr>
            <w:tcW w:w="1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723CB51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33BCB8E" w14:textId="601D63A2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alcool</w:t>
            </w:r>
          </w:p>
        </w:tc>
        <w:tc>
          <w:tcPr>
            <w:tcW w:w="311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7FCB3FD" w14:textId="02572FAF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970 - 1260</w:t>
            </w:r>
          </w:p>
        </w:tc>
        <w:tc>
          <w:tcPr>
            <w:tcW w:w="183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491F3F6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6CB" w14:paraId="4F86ECDA" w14:textId="77777777" w:rsidTr="00547BC8">
        <w:tc>
          <w:tcPr>
            <w:tcW w:w="1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F86DD5C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3E6EAC3" w14:textId="594C6C34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époxyde</w:t>
            </w:r>
          </w:p>
        </w:tc>
        <w:tc>
          <w:tcPr>
            <w:tcW w:w="311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2CC91A9A" w14:textId="786E6DA8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1200 - 1250</w:t>
            </w:r>
          </w:p>
        </w:tc>
        <w:tc>
          <w:tcPr>
            <w:tcW w:w="183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A0E3EAB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6CB" w14:paraId="72A6EE9A" w14:textId="77777777" w:rsidTr="00547BC8">
        <w:tc>
          <w:tcPr>
            <w:tcW w:w="1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06395305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6032A8E7" w14:textId="506FE241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ester</w:t>
            </w:r>
          </w:p>
        </w:tc>
        <w:tc>
          <w:tcPr>
            <w:tcW w:w="311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128687B4" w14:textId="7B3CB5B4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1050 - 1330</w:t>
            </w:r>
          </w:p>
        </w:tc>
        <w:tc>
          <w:tcPr>
            <w:tcW w:w="183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12" w:space="0" w:color="auto"/>
              <w:right w:val="single" w:sz="8" w:space="0" w:color="A6A6A6" w:themeColor="background1" w:themeShade="A6"/>
            </w:tcBorders>
            <w:vAlign w:val="center"/>
          </w:tcPr>
          <w:p w14:paraId="4E10B970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6CB" w14:paraId="24308092" w14:textId="77777777" w:rsidTr="00547BC8">
        <w:tc>
          <w:tcPr>
            <w:tcW w:w="1698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6BBBD39" w14:textId="2D018883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 = O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B5713EA" w14:textId="1036F4CC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cétone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6A3DA89" w14:textId="19E67138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1715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3703B481" w14:textId="102492A7" w:rsidR="001A66CB" w:rsidRDefault="00547BC8" w:rsidP="00547B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intense</w:t>
            </w:r>
          </w:p>
        </w:tc>
      </w:tr>
      <w:tr w:rsidR="001A66CB" w14:paraId="606A9B93" w14:textId="77777777" w:rsidTr="00547BC8">
        <w:tc>
          <w:tcPr>
            <w:tcW w:w="1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15A4EE5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0919CAD" w14:textId="686C9CCF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aldéhyde</w:t>
            </w:r>
          </w:p>
        </w:tc>
        <w:tc>
          <w:tcPr>
            <w:tcW w:w="311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D3491DB" w14:textId="2F20D452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1720 - 1740</w:t>
            </w:r>
          </w:p>
        </w:tc>
        <w:tc>
          <w:tcPr>
            <w:tcW w:w="183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4CC65CF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6CB" w14:paraId="17A610F0" w14:textId="77777777" w:rsidTr="00547BC8">
        <w:tc>
          <w:tcPr>
            <w:tcW w:w="1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4F4A439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84CCD2B" w14:textId="49C73C89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acide carboxylique</w:t>
            </w:r>
          </w:p>
        </w:tc>
        <w:tc>
          <w:tcPr>
            <w:tcW w:w="311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5678F6A" w14:textId="197E0E9B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1760</w:t>
            </w:r>
          </w:p>
        </w:tc>
        <w:tc>
          <w:tcPr>
            <w:tcW w:w="183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70F59019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6CB" w14:paraId="59727FC2" w14:textId="77777777" w:rsidTr="00547BC8">
        <w:tc>
          <w:tcPr>
            <w:tcW w:w="169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6E7BC092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1C97A2BE" w14:textId="49DF5F78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ester</w:t>
            </w:r>
          </w:p>
        </w:tc>
        <w:tc>
          <w:tcPr>
            <w:tcW w:w="311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004B16B0" w14:textId="148D54FB" w:rsidR="001A66CB" w:rsidRDefault="00547BC8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F3C">
              <w:rPr>
                <w:rFonts w:ascii="Arial" w:hAnsi="Arial" w:cs="Arial"/>
                <w:sz w:val="24"/>
                <w:szCs w:val="24"/>
              </w:rPr>
              <w:t>1735 - 1750</w:t>
            </w:r>
          </w:p>
        </w:tc>
        <w:tc>
          <w:tcPr>
            <w:tcW w:w="183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5BB2123C" w14:textId="77777777" w:rsidR="001A66CB" w:rsidRDefault="001A66CB" w:rsidP="001A66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C960F6" w14:textId="77777777" w:rsidR="004F0F3C" w:rsidRPr="00547BC8" w:rsidRDefault="004F0F3C" w:rsidP="004F0F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547BC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A</w:t>
      </w:r>
      <w:r w:rsidRPr="00547BC8">
        <w:rPr>
          <w:rFonts w:ascii="Arial" w:hAnsi="Arial" w:cs="Arial"/>
          <w:b/>
          <w:bCs/>
          <w:sz w:val="24"/>
          <w:szCs w:val="24"/>
        </w:rPr>
        <w:t xml:space="preserve"> - Dosage d’une solution d’acide lactique</w:t>
      </w:r>
    </w:p>
    <w:p w14:paraId="47755E17" w14:textId="77777777" w:rsidR="00547BC8" w:rsidRDefault="00547BC8" w:rsidP="004F0F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9B7B4C2" w14:textId="567918B1" w:rsidR="004F0F3C" w:rsidRPr="004F0F3C" w:rsidRDefault="004F0F3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L’acide lactique est une molécule biosourcée produite à plus de 270 000 tonnes par an. Il possède</w:t>
      </w:r>
      <w:r w:rsidR="00547BC8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un large éventail d’applications, notamment dans l’agroalimentaire, les cosmétiques, l’industrie</w:t>
      </w:r>
      <w:r w:rsidR="00547BC8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pharmaceutique et l’emballage. La représentation développée de l’acide lactique est donnée ci-dessous (</w:t>
      </w:r>
      <w:r w:rsidRPr="00D3564C">
        <w:rPr>
          <w:rFonts w:ascii="Arial" w:hAnsi="Arial" w:cs="Arial"/>
          <w:b/>
          <w:bCs/>
          <w:sz w:val="24"/>
          <w:szCs w:val="24"/>
        </w:rPr>
        <w:t>figure 1</w:t>
      </w:r>
      <w:r w:rsidRPr="004F0F3C">
        <w:rPr>
          <w:rFonts w:ascii="Arial" w:hAnsi="Arial" w:cs="Arial"/>
          <w:sz w:val="24"/>
          <w:szCs w:val="24"/>
        </w:rPr>
        <w:t>).</w:t>
      </w:r>
    </w:p>
    <w:p w14:paraId="7A88720E" w14:textId="70DB257B" w:rsidR="00D3344E" w:rsidRDefault="00D3344E" w:rsidP="00D356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CC82A3" wp14:editId="402A53FC">
            <wp:extent cx="1349413" cy="935990"/>
            <wp:effectExtent l="0" t="0" r="317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63" cy="94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E607F" w14:textId="79CAF791" w:rsidR="004F0F3C" w:rsidRDefault="004F0F3C" w:rsidP="00D356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Figure 1</w:t>
      </w:r>
      <w:r w:rsidR="00D3344E" w:rsidRPr="00D3564C">
        <w:rPr>
          <w:rFonts w:ascii="Arial" w:hAnsi="Arial" w:cs="Arial"/>
          <w:b/>
          <w:bCs/>
          <w:sz w:val="24"/>
          <w:szCs w:val="24"/>
        </w:rPr>
        <w:t> :</w:t>
      </w:r>
      <w:r w:rsidRPr="004F0F3C">
        <w:rPr>
          <w:rFonts w:ascii="Arial" w:hAnsi="Arial" w:cs="Arial"/>
          <w:sz w:val="24"/>
          <w:szCs w:val="24"/>
        </w:rPr>
        <w:t xml:space="preserve"> Formule développée de l’acide lactique</w:t>
      </w:r>
    </w:p>
    <w:p w14:paraId="0199DB93" w14:textId="77777777" w:rsidR="00D3564C" w:rsidRPr="004F0F3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45C202" w14:textId="1E2E7A46" w:rsidR="004F0F3C" w:rsidRPr="004F0F3C" w:rsidRDefault="004F0F3C" w:rsidP="00D3564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A.1.</w:t>
      </w:r>
      <w:r w:rsidR="00D3564C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>Représenter la formule topologique de l’acide lactique, puis entourer les groupes</w:t>
      </w:r>
      <w:r w:rsidR="00D3564C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caractéristiques. Nommer les familles fonctionnelles de cette molécule.</w:t>
      </w:r>
    </w:p>
    <w:p w14:paraId="6D10A223" w14:textId="77777777" w:rsidR="00D3564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080B9" w14:textId="5678A2F6" w:rsidR="004F0F3C" w:rsidRPr="004F0F3C" w:rsidRDefault="004F0F3C" w:rsidP="00D3564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Industriellement, l’acide lactique est principalement produit par fermentation bactérienne.</w:t>
      </w:r>
    </w:p>
    <w:p w14:paraId="22D6E031" w14:textId="7CFF4775" w:rsidR="004F0F3C" w:rsidRPr="004F0F3C" w:rsidRDefault="004F0F3C" w:rsidP="00D3564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À l’issue de cette étape, on obtient une concentration en acide lactique comprise entre 53 g · L</w:t>
      </w:r>
      <w:r w:rsidRPr="00D3564C">
        <w:rPr>
          <w:rFonts w:ascii="Arial" w:hAnsi="Arial" w:cs="Arial"/>
          <w:sz w:val="24"/>
          <w:szCs w:val="24"/>
          <w:vertAlign w:val="superscript"/>
        </w:rPr>
        <w:t>−1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et 85 g · L</w:t>
      </w:r>
      <w:r w:rsidRPr="00D3564C">
        <w:rPr>
          <w:rFonts w:ascii="Arial" w:hAnsi="Arial" w:cs="Arial"/>
          <w:sz w:val="24"/>
          <w:szCs w:val="24"/>
          <w:vertAlign w:val="superscript"/>
        </w:rPr>
        <w:t>−1</w:t>
      </w:r>
      <w:r w:rsidRPr="004F0F3C">
        <w:rPr>
          <w:rFonts w:ascii="Arial" w:hAnsi="Arial" w:cs="Arial"/>
          <w:sz w:val="24"/>
          <w:szCs w:val="24"/>
        </w:rPr>
        <w:t>.</w:t>
      </w:r>
    </w:p>
    <w:p w14:paraId="7C140401" w14:textId="5B786A3C" w:rsidR="004F0F3C" w:rsidRPr="004F0F3C" w:rsidRDefault="004F0F3C" w:rsidP="00D3564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On cherche dans cette partie à vérifier par titrage la concentration en acide lactique dans une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lotion utilisée en cosmétique, notée (S</w:t>
      </w:r>
      <w:r w:rsidR="00D3564C">
        <w:rPr>
          <w:rFonts w:ascii="Arial" w:hAnsi="Arial" w:cs="Arial"/>
          <w:sz w:val="24"/>
          <w:szCs w:val="24"/>
          <w:vertAlign w:val="subscript"/>
        </w:rPr>
        <w:t>0</w:t>
      </w:r>
      <w:r w:rsidRPr="004F0F3C">
        <w:rPr>
          <w:rFonts w:ascii="Arial" w:hAnsi="Arial" w:cs="Arial"/>
          <w:sz w:val="24"/>
          <w:szCs w:val="24"/>
        </w:rPr>
        <w:t>), dont la concentration de référence annoncée est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de</w:t>
      </w:r>
      <w:r w:rsidR="00D3564C">
        <w:rPr>
          <w:rFonts w:ascii="Arial" w:hAnsi="Arial" w:cs="Arial"/>
          <w:sz w:val="24"/>
          <w:szCs w:val="24"/>
        </w:rPr>
        <w:t> </w:t>
      </w:r>
      <w:r w:rsidRPr="004F0F3C">
        <w:rPr>
          <w:rFonts w:ascii="Arial" w:hAnsi="Arial" w:cs="Arial"/>
          <w:sz w:val="24"/>
          <w:szCs w:val="24"/>
        </w:rPr>
        <w:t>C</w:t>
      </w:r>
      <w:r w:rsidRPr="00D3564C">
        <w:rPr>
          <w:rFonts w:ascii="Arial" w:hAnsi="Arial" w:cs="Arial"/>
          <w:sz w:val="24"/>
          <w:szCs w:val="24"/>
          <w:vertAlign w:val="subscript"/>
        </w:rPr>
        <w:t>0,réf</w:t>
      </w:r>
      <w:r w:rsidR="00D3564C">
        <w:rPr>
          <w:rFonts w:ascii="Arial" w:hAnsi="Arial" w:cs="Arial"/>
          <w:sz w:val="24"/>
          <w:szCs w:val="24"/>
        </w:rPr>
        <w:t> </w:t>
      </w:r>
      <w:r w:rsidRPr="004F0F3C">
        <w:rPr>
          <w:rFonts w:ascii="Arial" w:hAnsi="Arial" w:cs="Arial"/>
          <w:sz w:val="24"/>
          <w:szCs w:val="24"/>
        </w:rPr>
        <w:t>=</w:t>
      </w:r>
      <w:r w:rsidR="00D3564C">
        <w:rPr>
          <w:rFonts w:ascii="Arial" w:hAnsi="Arial" w:cs="Arial"/>
          <w:sz w:val="24"/>
          <w:szCs w:val="24"/>
        </w:rPr>
        <w:t> </w:t>
      </w:r>
      <w:r w:rsidRPr="004F0F3C">
        <w:rPr>
          <w:rFonts w:ascii="Arial" w:hAnsi="Arial" w:cs="Arial"/>
          <w:sz w:val="24"/>
          <w:szCs w:val="24"/>
        </w:rPr>
        <w:t>65 g · L</w:t>
      </w:r>
      <w:r w:rsidRPr="00D3564C">
        <w:rPr>
          <w:rFonts w:ascii="Arial" w:hAnsi="Arial" w:cs="Arial"/>
          <w:sz w:val="24"/>
          <w:szCs w:val="24"/>
          <w:vertAlign w:val="superscript"/>
        </w:rPr>
        <w:t>−1</w:t>
      </w:r>
      <w:r w:rsidRPr="004F0F3C">
        <w:rPr>
          <w:rFonts w:ascii="Arial" w:hAnsi="Arial" w:cs="Arial"/>
          <w:sz w:val="24"/>
          <w:szCs w:val="24"/>
        </w:rPr>
        <w:t>.</w:t>
      </w:r>
    </w:p>
    <w:p w14:paraId="26EA84C3" w14:textId="712D6D9A" w:rsidR="004F0F3C" w:rsidRPr="004F0F3C" w:rsidRDefault="004F0F3C" w:rsidP="00D3564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L’acide lactique sera noté A</w:t>
      </w:r>
      <w:r w:rsidR="00D3564C">
        <w:rPr>
          <w:rFonts w:ascii="Arial" w:hAnsi="Arial" w:cs="Arial"/>
          <w:sz w:val="24"/>
          <w:szCs w:val="24"/>
        </w:rPr>
        <w:t>H</w:t>
      </w:r>
      <w:r w:rsidRPr="004F0F3C">
        <w:rPr>
          <w:rFonts w:ascii="Arial" w:hAnsi="Arial" w:cs="Arial"/>
          <w:sz w:val="24"/>
          <w:szCs w:val="24"/>
        </w:rPr>
        <w:t xml:space="preserve"> et sa base conjuguée A</w:t>
      </w:r>
      <w:r w:rsidRPr="00D3564C">
        <w:rPr>
          <w:rFonts w:ascii="Arial" w:hAnsi="Arial" w:cs="Arial"/>
          <w:sz w:val="24"/>
          <w:szCs w:val="24"/>
          <w:vertAlign w:val="superscript"/>
        </w:rPr>
        <w:t>−</w:t>
      </w:r>
      <w:r w:rsidRPr="004F0F3C">
        <w:rPr>
          <w:rFonts w:ascii="Arial" w:hAnsi="Arial" w:cs="Arial"/>
          <w:sz w:val="24"/>
          <w:szCs w:val="24"/>
        </w:rPr>
        <w:t>.</w:t>
      </w:r>
    </w:p>
    <w:p w14:paraId="0DF403FC" w14:textId="453EAB8E" w:rsidR="004F0F3C" w:rsidRPr="004F0F3C" w:rsidRDefault="004F0F3C" w:rsidP="00D3564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On prépare une solution (S</w:t>
      </w:r>
      <w:r w:rsidRPr="00D3564C">
        <w:rPr>
          <w:rFonts w:ascii="Arial" w:hAnsi="Arial" w:cs="Arial"/>
          <w:sz w:val="24"/>
          <w:szCs w:val="24"/>
          <w:vertAlign w:val="subscript"/>
        </w:rPr>
        <w:t>1</w:t>
      </w:r>
      <w:r w:rsidRPr="004F0F3C">
        <w:rPr>
          <w:rFonts w:ascii="Arial" w:hAnsi="Arial" w:cs="Arial"/>
          <w:sz w:val="24"/>
          <w:szCs w:val="24"/>
        </w:rPr>
        <w:t>) en diluant dix fois la solution (</w:t>
      </w:r>
      <w:r w:rsidR="00D3564C" w:rsidRPr="004F0F3C">
        <w:rPr>
          <w:rFonts w:ascii="Arial" w:hAnsi="Arial" w:cs="Arial"/>
          <w:sz w:val="24"/>
          <w:szCs w:val="24"/>
        </w:rPr>
        <w:t>S</w:t>
      </w:r>
      <w:r w:rsidR="00D3564C">
        <w:rPr>
          <w:rFonts w:ascii="Arial" w:hAnsi="Arial" w:cs="Arial"/>
          <w:sz w:val="24"/>
          <w:szCs w:val="24"/>
          <w:vertAlign w:val="subscript"/>
        </w:rPr>
        <w:t>0</w:t>
      </w:r>
      <w:r w:rsidRPr="004F0F3C">
        <w:rPr>
          <w:rFonts w:ascii="Arial" w:hAnsi="Arial" w:cs="Arial"/>
          <w:sz w:val="24"/>
          <w:szCs w:val="24"/>
        </w:rPr>
        <w:t>).</w:t>
      </w:r>
    </w:p>
    <w:p w14:paraId="65499789" w14:textId="70928F17" w:rsidR="004F0F3C" w:rsidRPr="004F0F3C" w:rsidRDefault="004F0F3C" w:rsidP="00D3564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Protocole du titrage</w:t>
      </w:r>
      <w:r w:rsidR="00D3564C">
        <w:rPr>
          <w:rFonts w:ascii="Arial" w:hAnsi="Arial" w:cs="Arial"/>
          <w:sz w:val="24"/>
          <w:szCs w:val="24"/>
        </w:rPr>
        <w:t> :</w:t>
      </w:r>
    </w:p>
    <w:p w14:paraId="73D805B2" w14:textId="2822F6E8" w:rsidR="004F0F3C" w:rsidRPr="00D3564C" w:rsidRDefault="004F0F3C" w:rsidP="00D3564C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sz w:val="24"/>
          <w:szCs w:val="24"/>
        </w:rPr>
        <w:t>À l’aide d’une pipette jaugée, prélever</w:t>
      </w:r>
      <w:r w:rsidR="00D3564C" w:rsidRPr="00D3564C">
        <w:rPr>
          <w:rFonts w:ascii="Arial" w:hAnsi="Arial" w:cs="Arial"/>
          <w:sz w:val="24"/>
          <w:szCs w:val="24"/>
        </w:rPr>
        <w:t xml:space="preserve"> </w:t>
      </w:r>
      <w:r w:rsidR="00D3564C" w:rsidRPr="00D3564C">
        <w:rPr>
          <w:rFonts w:ascii="Arial" w:hAnsi="Arial" w:cs="Arial"/>
          <w:i/>
          <w:iCs/>
          <w:sz w:val="24"/>
          <w:szCs w:val="24"/>
        </w:rPr>
        <w:t>V</w:t>
      </w:r>
      <w:r w:rsidR="00D3564C" w:rsidRPr="00D3564C">
        <w:rPr>
          <w:rFonts w:ascii="Arial" w:hAnsi="Arial" w:cs="Arial"/>
          <w:sz w:val="24"/>
          <w:szCs w:val="24"/>
          <w:vertAlign w:val="subscript"/>
        </w:rPr>
        <w:t>1</w:t>
      </w:r>
      <w:r w:rsidRPr="00D3564C">
        <w:rPr>
          <w:rFonts w:ascii="Arial" w:hAnsi="Arial" w:cs="Arial"/>
          <w:sz w:val="24"/>
          <w:szCs w:val="24"/>
        </w:rPr>
        <w:t xml:space="preserve"> = 20,00 mL de la solution (</w:t>
      </w:r>
      <w:r w:rsidR="00D3344E" w:rsidRPr="00D3564C">
        <w:rPr>
          <w:rFonts w:ascii="Arial" w:hAnsi="Arial" w:cs="Arial"/>
          <w:sz w:val="24"/>
          <w:szCs w:val="24"/>
        </w:rPr>
        <w:t>S</w:t>
      </w:r>
      <w:r w:rsidR="00D3344E" w:rsidRPr="00D3564C">
        <w:rPr>
          <w:rFonts w:ascii="Arial" w:hAnsi="Arial" w:cs="Arial"/>
          <w:sz w:val="24"/>
          <w:szCs w:val="24"/>
          <w:vertAlign w:val="subscript"/>
        </w:rPr>
        <w:t>1</w:t>
      </w:r>
      <w:r w:rsidRPr="00D3564C">
        <w:rPr>
          <w:rFonts w:ascii="Arial" w:hAnsi="Arial" w:cs="Arial"/>
          <w:sz w:val="24"/>
          <w:szCs w:val="24"/>
        </w:rPr>
        <w:t>), les verser dans un</w:t>
      </w:r>
      <w:r w:rsidR="00D3564C" w:rsidRPr="00D3564C">
        <w:rPr>
          <w:rFonts w:ascii="Arial" w:hAnsi="Arial" w:cs="Arial"/>
          <w:sz w:val="24"/>
          <w:szCs w:val="24"/>
        </w:rPr>
        <w:t xml:space="preserve"> </w:t>
      </w:r>
      <w:r w:rsidRPr="00D3564C">
        <w:rPr>
          <w:rFonts w:ascii="Arial" w:hAnsi="Arial" w:cs="Arial"/>
          <w:sz w:val="24"/>
          <w:szCs w:val="24"/>
        </w:rPr>
        <w:t>bécher de 100 mL et y introduire un barreau aimanté.</w:t>
      </w:r>
    </w:p>
    <w:p w14:paraId="415F7B78" w14:textId="66034F8D" w:rsidR="004F0F3C" w:rsidRPr="00D3564C" w:rsidRDefault="004F0F3C" w:rsidP="00D3564C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sz w:val="24"/>
          <w:szCs w:val="24"/>
        </w:rPr>
        <w:t>Placer le bécher sur un dispositif d’agitation magnétique.</w:t>
      </w:r>
    </w:p>
    <w:p w14:paraId="1F92E98D" w14:textId="05598B40" w:rsidR="004F0F3C" w:rsidRPr="00D3564C" w:rsidRDefault="004F0F3C" w:rsidP="00D3564C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sz w:val="24"/>
          <w:szCs w:val="24"/>
        </w:rPr>
        <w:t>Remplir une burette graduée de 25,00 mL d’une solution aqueuse d’hydroxyde de sodium</w:t>
      </w:r>
      <w:r w:rsidR="00D3564C">
        <w:rPr>
          <w:rFonts w:ascii="Arial" w:hAnsi="Arial" w:cs="Arial"/>
          <w:sz w:val="24"/>
          <w:szCs w:val="24"/>
        </w:rPr>
        <w:t> </w:t>
      </w:r>
      <w:r w:rsidRPr="00D3564C">
        <w:rPr>
          <w:rFonts w:ascii="Arial" w:hAnsi="Arial" w:cs="Arial"/>
          <w:sz w:val="24"/>
          <w:szCs w:val="24"/>
        </w:rPr>
        <w:t>(</w:t>
      </w:r>
      <w:r w:rsidR="00D3564C" w:rsidRPr="00D3564C">
        <w:rPr>
          <w:rFonts w:ascii="Arial" w:hAnsi="Arial" w:cs="Arial"/>
          <w:sz w:val="24"/>
          <w:szCs w:val="24"/>
        </w:rPr>
        <w:t>S</w:t>
      </w:r>
      <w:r w:rsidR="00D3564C" w:rsidRPr="00D3564C">
        <w:rPr>
          <w:rFonts w:ascii="Arial" w:hAnsi="Arial" w:cs="Arial"/>
          <w:sz w:val="24"/>
          <w:szCs w:val="24"/>
          <w:vertAlign w:val="subscript"/>
        </w:rPr>
        <w:t>2</w:t>
      </w:r>
      <w:r w:rsidRPr="00D3564C">
        <w:rPr>
          <w:rFonts w:ascii="Arial" w:hAnsi="Arial" w:cs="Arial"/>
          <w:sz w:val="24"/>
          <w:szCs w:val="24"/>
        </w:rPr>
        <w:t>) (Na</w:t>
      </w:r>
      <w:r w:rsidRPr="00D3564C">
        <w:rPr>
          <w:rFonts w:ascii="Arial" w:hAnsi="Arial" w:cs="Arial"/>
          <w:sz w:val="24"/>
          <w:szCs w:val="24"/>
          <w:vertAlign w:val="superscript"/>
        </w:rPr>
        <w:t>+</w:t>
      </w:r>
      <w:r w:rsidRPr="00D3564C">
        <w:rPr>
          <w:rFonts w:ascii="Arial" w:hAnsi="Arial" w:cs="Arial"/>
          <w:sz w:val="24"/>
          <w:szCs w:val="24"/>
        </w:rPr>
        <w:t xml:space="preserve">(aq) + </w:t>
      </w:r>
      <w:r w:rsidR="00D3564C">
        <w:rPr>
          <w:rFonts w:ascii="Arial" w:hAnsi="Arial" w:cs="Arial"/>
          <w:sz w:val="24"/>
          <w:szCs w:val="24"/>
        </w:rPr>
        <w:t>HO</w:t>
      </w:r>
      <w:r w:rsidRPr="00D3564C">
        <w:rPr>
          <w:rFonts w:ascii="Arial" w:hAnsi="Arial" w:cs="Arial"/>
          <w:sz w:val="24"/>
          <w:szCs w:val="24"/>
          <w:vertAlign w:val="superscript"/>
        </w:rPr>
        <w:t>−</w:t>
      </w:r>
      <w:r w:rsidRPr="00D3564C">
        <w:rPr>
          <w:rFonts w:ascii="Arial" w:hAnsi="Arial" w:cs="Arial"/>
          <w:sz w:val="24"/>
          <w:szCs w:val="24"/>
        </w:rPr>
        <w:t xml:space="preserve">(aq)) de concentration </w:t>
      </w:r>
      <w:r w:rsidR="00D3564C">
        <w:rPr>
          <w:rFonts w:ascii="Arial" w:hAnsi="Arial" w:cs="Arial"/>
          <w:i/>
          <w:iCs/>
          <w:sz w:val="24"/>
          <w:szCs w:val="24"/>
        </w:rPr>
        <w:t>C</w:t>
      </w:r>
      <w:r w:rsidR="00D3564C">
        <w:rPr>
          <w:rFonts w:ascii="Arial" w:hAnsi="Arial" w:cs="Arial"/>
          <w:sz w:val="24"/>
          <w:szCs w:val="24"/>
          <w:vertAlign w:val="subscript"/>
        </w:rPr>
        <w:t>2</w:t>
      </w:r>
      <w:r w:rsidRPr="00D3564C">
        <w:rPr>
          <w:rFonts w:ascii="Arial" w:hAnsi="Arial" w:cs="Arial"/>
          <w:sz w:val="24"/>
          <w:szCs w:val="24"/>
        </w:rPr>
        <w:t xml:space="preserve"> = 1,00 × 10</w:t>
      </w:r>
      <w:r w:rsidRPr="00D3564C">
        <w:rPr>
          <w:rFonts w:ascii="Arial" w:hAnsi="Arial" w:cs="Arial"/>
          <w:sz w:val="24"/>
          <w:szCs w:val="24"/>
          <w:vertAlign w:val="superscript"/>
        </w:rPr>
        <w:t>−1</w:t>
      </w:r>
      <w:r w:rsidRPr="00D3564C">
        <w:rPr>
          <w:rFonts w:ascii="Arial" w:hAnsi="Arial" w:cs="Arial"/>
          <w:sz w:val="24"/>
          <w:szCs w:val="24"/>
        </w:rPr>
        <w:t xml:space="preserve"> mol ∙ L</w:t>
      </w:r>
      <w:r w:rsidRPr="00D3564C">
        <w:rPr>
          <w:rFonts w:ascii="Arial" w:hAnsi="Arial" w:cs="Arial"/>
          <w:sz w:val="24"/>
          <w:szCs w:val="24"/>
          <w:vertAlign w:val="superscript"/>
        </w:rPr>
        <w:t>−1</w:t>
      </w:r>
      <w:r w:rsidRPr="00D3564C">
        <w:rPr>
          <w:rFonts w:ascii="Arial" w:hAnsi="Arial" w:cs="Arial"/>
          <w:sz w:val="24"/>
          <w:szCs w:val="24"/>
        </w:rPr>
        <w:t>.</w:t>
      </w:r>
    </w:p>
    <w:p w14:paraId="62168456" w14:textId="38D77A93" w:rsidR="004F0F3C" w:rsidRPr="00D3564C" w:rsidRDefault="004F0F3C" w:rsidP="00D3564C">
      <w:pPr>
        <w:pStyle w:val="Paragraphedeliste"/>
        <w:numPr>
          <w:ilvl w:val="0"/>
          <w:numId w:val="29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sz w:val="24"/>
          <w:szCs w:val="24"/>
        </w:rPr>
        <w:t xml:space="preserve">Étalonner le </w:t>
      </w:r>
      <w:r w:rsidR="00D3564C" w:rsidRPr="00D3564C">
        <w:rPr>
          <w:rFonts w:ascii="Arial" w:hAnsi="Arial" w:cs="Arial"/>
          <w:i/>
          <w:iCs/>
          <w:sz w:val="24"/>
          <w:szCs w:val="24"/>
        </w:rPr>
        <w:t>pH</w:t>
      </w:r>
      <w:r w:rsidRPr="00D3564C">
        <w:rPr>
          <w:rFonts w:ascii="Arial" w:hAnsi="Arial" w:cs="Arial"/>
          <w:sz w:val="24"/>
          <w:szCs w:val="24"/>
        </w:rPr>
        <w:t>-mètre et immerger la sonde dans la solution à titrer.</w:t>
      </w:r>
    </w:p>
    <w:p w14:paraId="67EEFDE4" w14:textId="1C485954" w:rsidR="004F0F3C" w:rsidRPr="00D3564C" w:rsidRDefault="004F0F3C" w:rsidP="00D3564C">
      <w:pPr>
        <w:pStyle w:val="Paragraphedeliste"/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sz w:val="24"/>
          <w:szCs w:val="24"/>
        </w:rPr>
        <w:t>Effectuer le titrage de la solution (</w:t>
      </w:r>
      <w:r w:rsidR="00D3564C" w:rsidRPr="00D3564C">
        <w:rPr>
          <w:rFonts w:ascii="Arial" w:hAnsi="Arial" w:cs="Arial"/>
          <w:sz w:val="24"/>
          <w:szCs w:val="24"/>
        </w:rPr>
        <w:t>S</w:t>
      </w:r>
      <w:r w:rsidR="00D3564C" w:rsidRPr="00D3564C">
        <w:rPr>
          <w:rFonts w:ascii="Arial" w:hAnsi="Arial" w:cs="Arial"/>
          <w:sz w:val="24"/>
          <w:szCs w:val="24"/>
          <w:vertAlign w:val="subscript"/>
        </w:rPr>
        <w:t>1</w:t>
      </w:r>
      <w:r w:rsidRPr="00D3564C">
        <w:rPr>
          <w:rFonts w:ascii="Arial" w:hAnsi="Arial" w:cs="Arial"/>
          <w:sz w:val="24"/>
          <w:szCs w:val="24"/>
        </w:rPr>
        <w:t>) contenue dans l’erlenmeyer par la solution (</w:t>
      </w:r>
      <w:r w:rsidR="00D3564C" w:rsidRPr="00D3564C">
        <w:rPr>
          <w:rFonts w:ascii="Arial" w:hAnsi="Arial" w:cs="Arial"/>
          <w:sz w:val="24"/>
          <w:szCs w:val="24"/>
        </w:rPr>
        <w:t>S</w:t>
      </w:r>
      <w:r w:rsidR="00D3564C">
        <w:rPr>
          <w:rFonts w:ascii="Arial" w:hAnsi="Arial" w:cs="Arial"/>
          <w:sz w:val="24"/>
          <w:szCs w:val="24"/>
          <w:vertAlign w:val="subscript"/>
        </w:rPr>
        <w:t>2</w:t>
      </w:r>
      <w:r w:rsidRPr="00D3564C">
        <w:rPr>
          <w:rFonts w:ascii="Arial" w:hAnsi="Arial" w:cs="Arial"/>
          <w:sz w:val="24"/>
          <w:szCs w:val="24"/>
        </w:rPr>
        <w:t>) contenue</w:t>
      </w:r>
      <w:r w:rsidR="00D3564C" w:rsidRPr="00D3564C">
        <w:rPr>
          <w:rFonts w:ascii="Arial" w:hAnsi="Arial" w:cs="Arial"/>
          <w:sz w:val="24"/>
          <w:szCs w:val="24"/>
        </w:rPr>
        <w:t xml:space="preserve"> </w:t>
      </w:r>
      <w:r w:rsidRPr="00D3564C">
        <w:rPr>
          <w:rFonts w:ascii="Arial" w:hAnsi="Arial" w:cs="Arial"/>
          <w:sz w:val="24"/>
          <w:szCs w:val="24"/>
        </w:rPr>
        <w:t xml:space="preserve">dans la burette graduée en suivant l’évolution du </w:t>
      </w:r>
      <w:r w:rsidR="00D3564C" w:rsidRPr="00D3564C">
        <w:rPr>
          <w:rFonts w:ascii="Arial" w:hAnsi="Arial" w:cs="Arial"/>
          <w:i/>
          <w:iCs/>
          <w:sz w:val="24"/>
          <w:szCs w:val="24"/>
        </w:rPr>
        <w:t>pH</w:t>
      </w:r>
      <w:r w:rsidRPr="00D3564C">
        <w:rPr>
          <w:rFonts w:ascii="Arial" w:hAnsi="Arial" w:cs="Arial"/>
          <w:sz w:val="24"/>
          <w:szCs w:val="24"/>
        </w:rPr>
        <w:t>.</w:t>
      </w:r>
    </w:p>
    <w:p w14:paraId="1A704AD6" w14:textId="77777777" w:rsidR="00D3564C" w:rsidRPr="004F0F3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EF0E3" w14:textId="506BC672" w:rsidR="004F0F3C" w:rsidRDefault="004F0F3C" w:rsidP="0003566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A.2.</w:t>
      </w:r>
      <w:r w:rsidR="00D3564C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>Schématiser et légender le dispositif expérimental utilisé pour réaliser le titrage.</w:t>
      </w:r>
    </w:p>
    <w:p w14:paraId="7113A871" w14:textId="77777777" w:rsidR="00D3564C" w:rsidRPr="004F0F3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BC253B" w14:textId="599571BF" w:rsidR="004F0F3C" w:rsidRPr="004F0F3C" w:rsidRDefault="004F0F3C" w:rsidP="0003566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A.3.</w:t>
      </w:r>
      <w:r w:rsidR="00D3564C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>Écrire l’équation de la réaction support du titrage.</w:t>
      </w:r>
    </w:p>
    <w:p w14:paraId="3DAF1A6C" w14:textId="77777777" w:rsidR="00D3564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67F0A9" w14:textId="1E97B95E" w:rsidR="004F0F3C" w:rsidRDefault="004F0F3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 xml:space="preserve">Les mesures du </w:t>
      </w:r>
      <w:r w:rsidR="00D3564C" w:rsidRPr="00D3564C">
        <w:rPr>
          <w:rFonts w:ascii="Arial" w:hAnsi="Arial" w:cs="Arial"/>
          <w:i/>
          <w:iCs/>
          <w:sz w:val="24"/>
          <w:szCs w:val="24"/>
        </w:rPr>
        <w:t>pH</w:t>
      </w:r>
      <w:r w:rsidR="00D3564C" w:rsidRPr="004F0F3C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de la solution (</w:t>
      </w:r>
      <w:r w:rsidR="00D3564C" w:rsidRPr="004F0F3C">
        <w:rPr>
          <w:rFonts w:ascii="Arial" w:hAnsi="Arial" w:cs="Arial"/>
          <w:sz w:val="24"/>
          <w:szCs w:val="24"/>
        </w:rPr>
        <w:t>S</w:t>
      </w:r>
      <w:r w:rsidR="00D3564C" w:rsidRPr="00D3564C">
        <w:rPr>
          <w:rFonts w:ascii="Arial" w:hAnsi="Arial" w:cs="Arial"/>
          <w:sz w:val="24"/>
          <w:szCs w:val="24"/>
          <w:vertAlign w:val="subscript"/>
        </w:rPr>
        <w:t>1</w:t>
      </w:r>
      <w:r w:rsidRPr="004F0F3C">
        <w:rPr>
          <w:rFonts w:ascii="Arial" w:hAnsi="Arial" w:cs="Arial"/>
          <w:sz w:val="24"/>
          <w:szCs w:val="24"/>
        </w:rPr>
        <w:t>) en fonction du volume de la solution titrante (</w:t>
      </w:r>
      <w:r w:rsidR="00D3344E" w:rsidRPr="004F0F3C">
        <w:rPr>
          <w:rFonts w:ascii="Arial" w:hAnsi="Arial" w:cs="Arial"/>
          <w:sz w:val="24"/>
          <w:szCs w:val="24"/>
        </w:rPr>
        <w:t>S</w:t>
      </w:r>
      <w:r w:rsidR="00D3344E" w:rsidRPr="00D3344E">
        <w:rPr>
          <w:rFonts w:ascii="Arial" w:hAnsi="Arial" w:cs="Arial"/>
          <w:sz w:val="24"/>
          <w:szCs w:val="24"/>
          <w:vertAlign w:val="subscript"/>
        </w:rPr>
        <w:t>2</w:t>
      </w:r>
      <w:r w:rsidRPr="004F0F3C">
        <w:rPr>
          <w:rFonts w:ascii="Arial" w:hAnsi="Arial" w:cs="Arial"/>
          <w:sz w:val="24"/>
          <w:szCs w:val="24"/>
        </w:rPr>
        <w:t>) versé</w:t>
      </w:r>
      <w:r w:rsidR="00D3564C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conduisent à la courbe de l’</w:t>
      </w:r>
      <w:r w:rsidRPr="00D3564C">
        <w:rPr>
          <w:rFonts w:ascii="Arial" w:hAnsi="Arial" w:cs="Arial"/>
          <w:b/>
          <w:bCs/>
          <w:sz w:val="24"/>
          <w:szCs w:val="24"/>
        </w:rPr>
        <w:t>ANNEXE I À RENDRE AVEC LA COPIE</w:t>
      </w:r>
      <w:r w:rsidRPr="004F0F3C">
        <w:rPr>
          <w:rFonts w:ascii="Arial" w:hAnsi="Arial" w:cs="Arial"/>
          <w:sz w:val="24"/>
          <w:szCs w:val="24"/>
        </w:rPr>
        <w:t>.</w:t>
      </w:r>
    </w:p>
    <w:p w14:paraId="23BCB8B0" w14:textId="77777777" w:rsidR="00D3564C" w:rsidRPr="004F0F3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ED8CB" w14:textId="1ABCB24C" w:rsidR="004F0F3C" w:rsidRDefault="004F0F3C" w:rsidP="00035668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A.4.1.</w:t>
      </w:r>
      <w:r w:rsidR="00D3564C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>À partir de la courbe figurant sur l’</w:t>
      </w:r>
      <w:r w:rsidRPr="00D3564C">
        <w:rPr>
          <w:rFonts w:ascii="Arial" w:hAnsi="Arial" w:cs="Arial"/>
          <w:b/>
          <w:bCs/>
          <w:sz w:val="24"/>
          <w:szCs w:val="24"/>
        </w:rPr>
        <w:t>ANNEXE I À RENDRE AVEC LA COPIE</w:t>
      </w:r>
      <w:r w:rsidRPr="004F0F3C">
        <w:rPr>
          <w:rFonts w:ascii="Arial" w:hAnsi="Arial" w:cs="Arial"/>
          <w:sz w:val="24"/>
          <w:szCs w:val="24"/>
        </w:rPr>
        <w:t>,</w:t>
      </w:r>
      <w:r w:rsidR="00D3564C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 xml:space="preserve">déterminer, en justifiant, le volume </w:t>
      </w:r>
      <w:r w:rsidRPr="004F0F3C">
        <w:rPr>
          <w:rFonts w:ascii="Cambria Math" w:hAnsi="Cambria Math" w:cs="Cambria Math"/>
          <w:sz w:val="24"/>
          <w:szCs w:val="24"/>
        </w:rPr>
        <w:t>𝑉</w:t>
      </w:r>
      <w:r w:rsidRPr="004F0F3C">
        <w:rPr>
          <w:rFonts w:ascii="Arial" w:hAnsi="Arial" w:cs="Arial"/>
          <w:sz w:val="24"/>
          <w:szCs w:val="24"/>
        </w:rPr>
        <w:t xml:space="preserve"> eq de solution titrante (</w:t>
      </w:r>
      <w:r w:rsidR="00D3344E" w:rsidRPr="004F0F3C">
        <w:rPr>
          <w:rFonts w:ascii="Arial" w:hAnsi="Arial" w:cs="Arial"/>
          <w:sz w:val="24"/>
          <w:szCs w:val="24"/>
        </w:rPr>
        <w:t>S</w:t>
      </w:r>
      <w:r w:rsidR="00D3344E" w:rsidRPr="00D3344E">
        <w:rPr>
          <w:rFonts w:ascii="Arial" w:hAnsi="Arial" w:cs="Arial"/>
          <w:sz w:val="24"/>
          <w:szCs w:val="24"/>
          <w:vertAlign w:val="subscript"/>
        </w:rPr>
        <w:t>2</w:t>
      </w:r>
      <w:r w:rsidRPr="004F0F3C">
        <w:rPr>
          <w:rFonts w:ascii="Arial" w:hAnsi="Arial" w:cs="Arial"/>
          <w:sz w:val="24"/>
          <w:szCs w:val="24"/>
        </w:rPr>
        <w:t>) versé à l’équivalence.</w:t>
      </w:r>
    </w:p>
    <w:p w14:paraId="5FA20DEF" w14:textId="77777777" w:rsidR="00D3564C" w:rsidRPr="004F0F3C" w:rsidRDefault="00D3564C" w:rsidP="00547B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E4EF5F" w14:textId="01F603E9" w:rsidR="005778B1" w:rsidRPr="00B8255A" w:rsidRDefault="004F0F3C" w:rsidP="00035668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D3564C">
        <w:rPr>
          <w:rFonts w:ascii="Arial" w:hAnsi="Arial" w:cs="Arial"/>
          <w:b/>
          <w:bCs/>
          <w:sz w:val="24"/>
          <w:szCs w:val="24"/>
        </w:rPr>
        <w:t>A.4.2.</w:t>
      </w:r>
      <w:r w:rsidR="00D3564C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 xml:space="preserve">En déduire la concentration en quantité de matière </w:t>
      </w:r>
      <w:r w:rsidRPr="004F0F3C">
        <w:rPr>
          <w:rFonts w:ascii="Cambria Math" w:hAnsi="Cambria Math" w:cs="Cambria Math"/>
          <w:sz w:val="24"/>
          <w:szCs w:val="24"/>
        </w:rPr>
        <w:t>𝐷</w:t>
      </w:r>
      <w:r w:rsidRPr="004F0F3C">
        <w:rPr>
          <w:rFonts w:ascii="Arial" w:hAnsi="Arial" w:cs="Arial"/>
          <w:sz w:val="24"/>
          <w:szCs w:val="24"/>
        </w:rPr>
        <w:t xml:space="preserve"> 0 en acide lactique dans la solution</w:t>
      </w:r>
      <w:r w:rsidR="0003566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(S</w:t>
      </w:r>
      <w:r w:rsidRPr="00D3564C">
        <w:rPr>
          <w:rFonts w:ascii="Arial" w:hAnsi="Arial" w:cs="Arial"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>).</w:t>
      </w:r>
    </w:p>
    <w:p w14:paraId="7BC05045" w14:textId="72FC8848" w:rsidR="004F0F3C" w:rsidRDefault="004F0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C55413" w14:textId="29DB72C3" w:rsidR="004F0F3C" w:rsidRDefault="004F0F3C" w:rsidP="00035668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035668">
        <w:rPr>
          <w:rFonts w:ascii="Arial" w:hAnsi="Arial" w:cs="Arial"/>
          <w:b/>
          <w:bCs/>
          <w:sz w:val="24"/>
          <w:szCs w:val="24"/>
        </w:rPr>
        <w:lastRenderedPageBreak/>
        <w:t>A.4.3.</w:t>
      </w:r>
      <w:r w:rsidR="00035668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 xml:space="preserve">Calculer l’incertitude-type </w:t>
      </w:r>
      <w:r w:rsidR="00035668" w:rsidRPr="00035668">
        <w:rPr>
          <w:rFonts w:ascii="Arial" w:hAnsi="Arial" w:cs="Arial"/>
          <w:i/>
          <w:iCs/>
          <w:sz w:val="24"/>
          <w:szCs w:val="24"/>
        </w:rPr>
        <w:t>u</w:t>
      </w:r>
      <w:r w:rsidR="00035668">
        <w:rPr>
          <w:rFonts w:ascii="Arial" w:hAnsi="Arial" w:cs="Arial"/>
          <w:sz w:val="24"/>
          <w:szCs w:val="24"/>
        </w:rPr>
        <w:t>(</w:t>
      </w:r>
      <w:r w:rsidR="00035668" w:rsidRPr="00035668">
        <w:rPr>
          <w:rFonts w:ascii="Arial" w:hAnsi="Arial" w:cs="Arial"/>
          <w:i/>
          <w:iCs/>
          <w:sz w:val="24"/>
          <w:szCs w:val="24"/>
        </w:rPr>
        <w:t>C</w:t>
      </w:r>
      <w:r w:rsidR="00035668" w:rsidRPr="00D3564C">
        <w:rPr>
          <w:rFonts w:ascii="Arial" w:hAnsi="Arial" w:cs="Arial"/>
          <w:sz w:val="24"/>
          <w:szCs w:val="24"/>
          <w:vertAlign w:val="subscript"/>
        </w:rPr>
        <w:t>0</w:t>
      </w:r>
      <w:r w:rsidR="00035668">
        <w:rPr>
          <w:rFonts w:ascii="Arial" w:hAnsi="Arial" w:cs="Arial"/>
          <w:sz w:val="24"/>
          <w:szCs w:val="24"/>
        </w:rPr>
        <w:t>) a</w:t>
      </w:r>
      <w:r w:rsidRPr="004F0F3C">
        <w:rPr>
          <w:rFonts w:ascii="Arial" w:hAnsi="Arial" w:cs="Arial"/>
          <w:sz w:val="24"/>
          <w:szCs w:val="24"/>
        </w:rPr>
        <w:t>ssociée à la mesure de la concentration en acide lactique</w:t>
      </w:r>
      <w:r w:rsidR="00035668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dans la solution (</w:t>
      </w:r>
      <w:r w:rsidR="00D3344E" w:rsidRPr="004F0F3C">
        <w:rPr>
          <w:rFonts w:ascii="Arial" w:hAnsi="Arial" w:cs="Arial"/>
          <w:sz w:val="24"/>
          <w:szCs w:val="24"/>
        </w:rPr>
        <w:t>S</w:t>
      </w:r>
      <w:r w:rsidR="00D3344E">
        <w:rPr>
          <w:rFonts w:ascii="Arial" w:hAnsi="Arial" w:cs="Arial"/>
          <w:sz w:val="24"/>
          <w:szCs w:val="24"/>
          <w:vertAlign w:val="subscript"/>
        </w:rPr>
        <w:t>0</w:t>
      </w:r>
      <w:r w:rsidRPr="004F0F3C">
        <w:rPr>
          <w:rFonts w:ascii="Arial" w:hAnsi="Arial" w:cs="Arial"/>
          <w:sz w:val="24"/>
          <w:szCs w:val="24"/>
        </w:rPr>
        <w:t>).</w:t>
      </w:r>
    </w:p>
    <w:p w14:paraId="18CA2B54" w14:textId="77777777" w:rsidR="00035668" w:rsidRPr="004F0F3C" w:rsidRDefault="00035668" w:rsidP="00035668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35EBEED9" w14:textId="7649BD9A" w:rsidR="004F0F3C" w:rsidRDefault="004F0F3C" w:rsidP="00035668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035668">
        <w:rPr>
          <w:rFonts w:ascii="Arial" w:hAnsi="Arial" w:cs="Arial"/>
          <w:b/>
          <w:bCs/>
          <w:sz w:val="24"/>
          <w:szCs w:val="24"/>
        </w:rPr>
        <w:t>A.4.4.</w:t>
      </w:r>
      <w:r w:rsidR="00035668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 xml:space="preserve">Comparer le résultat de la mesure de la concentration </w:t>
      </w:r>
      <w:r w:rsidR="00035668" w:rsidRPr="00035668">
        <w:rPr>
          <w:rFonts w:ascii="Arial" w:hAnsi="Arial" w:cs="Arial"/>
          <w:i/>
          <w:iCs/>
          <w:sz w:val="24"/>
          <w:szCs w:val="24"/>
        </w:rPr>
        <w:t>C</w:t>
      </w:r>
      <w:r w:rsidR="00035668" w:rsidRPr="00D3564C">
        <w:rPr>
          <w:rFonts w:ascii="Arial" w:hAnsi="Arial" w:cs="Arial"/>
          <w:sz w:val="24"/>
          <w:szCs w:val="24"/>
          <w:vertAlign w:val="subscript"/>
        </w:rPr>
        <w:t>0</w:t>
      </w:r>
      <w:r w:rsidR="00035668">
        <w:rPr>
          <w:rFonts w:ascii="Arial" w:hAnsi="Arial" w:cs="Arial"/>
          <w:sz w:val="24"/>
          <w:szCs w:val="24"/>
        </w:rPr>
        <w:t xml:space="preserve"> à</w:t>
      </w:r>
      <w:r w:rsidRPr="004F0F3C">
        <w:rPr>
          <w:rFonts w:ascii="Arial" w:hAnsi="Arial" w:cs="Arial"/>
          <w:sz w:val="24"/>
          <w:szCs w:val="24"/>
        </w:rPr>
        <w:t xml:space="preserve"> la valeur de référence en</w:t>
      </w:r>
      <w:r w:rsidR="00035668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 xml:space="preserve">calculant l’écart normalisé </w:t>
      </w:r>
      <w:r w:rsidRPr="00035668">
        <w:rPr>
          <w:rFonts w:ascii="Arial" w:hAnsi="Arial" w:cs="Arial"/>
          <w:i/>
          <w:iCs/>
          <w:sz w:val="24"/>
          <w:szCs w:val="24"/>
        </w:rPr>
        <w:t>z</w:t>
      </w:r>
      <w:r w:rsidRPr="004F0F3C">
        <w:rPr>
          <w:rFonts w:ascii="Arial" w:hAnsi="Arial" w:cs="Arial"/>
          <w:sz w:val="24"/>
          <w:szCs w:val="24"/>
        </w:rPr>
        <w:t>. Conclure.</w:t>
      </w:r>
    </w:p>
    <w:p w14:paraId="028AC040" w14:textId="77777777" w:rsidR="00035668" w:rsidRPr="004F0F3C" w:rsidRDefault="00035668" w:rsidP="00035668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4BAF517F" w14:textId="6A1A0780" w:rsidR="004F0F3C" w:rsidRPr="004F0F3C" w:rsidRDefault="004F0F3C" w:rsidP="0003566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5668">
        <w:rPr>
          <w:rFonts w:ascii="Arial" w:hAnsi="Arial" w:cs="Arial"/>
          <w:b/>
          <w:bCs/>
          <w:sz w:val="24"/>
          <w:szCs w:val="24"/>
        </w:rPr>
        <w:t>A.5.</w:t>
      </w:r>
      <w:r w:rsidR="00035668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>Proposer, en justifiant, le nom d’un indicateur coloré permettant de repérer l’équivalence</w:t>
      </w:r>
      <w:r w:rsidR="00035668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du titrage de l’acide lactique.</w:t>
      </w:r>
    </w:p>
    <w:p w14:paraId="32B20922" w14:textId="77777777" w:rsidR="00035668" w:rsidRDefault="00035668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D643F7" w14:textId="6FFF5D7A" w:rsidR="004F0F3C" w:rsidRPr="00035668" w:rsidRDefault="004F0F3C" w:rsidP="004F0F3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5668"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Pr="00035668">
        <w:rPr>
          <w:rFonts w:ascii="Arial" w:hAnsi="Arial" w:cs="Arial"/>
          <w:b/>
          <w:bCs/>
          <w:sz w:val="24"/>
          <w:szCs w:val="24"/>
        </w:rPr>
        <w:t xml:space="preserve"> - Dégradation du PLA</w:t>
      </w:r>
    </w:p>
    <w:p w14:paraId="0CC2C934" w14:textId="77777777" w:rsidR="00035668" w:rsidRDefault="00035668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E533D" w14:textId="731521E8" w:rsid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L’acide polylactique (PLA) utilisé dans l’emballage est un polymère biodégradable et biosourcé</w:t>
      </w:r>
      <w:r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dont la formule chimique est donnée ci-dessous (</w:t>
      </w:r>
      <w:r w:rsidRPr="00035668">
        <w:rPr>
          <w:rFonts w:ascii="Arial" w:hAnsi="Arial" w:cs="Arial"/>
          <w:b/>
          <w:bCs/>
          <w:sz w:val="24"/>
          <w:szCs w:val="24"/>
        </w:rPr>
        <w:t>figure 2</w:t>
      </w:r>
      <w:r w:rsidRPr="004F0F3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 :</w:t>
      </w:r>
    </w:p>
    <w:p w14:paraId="34210F1D" w14:textId="77777777" w:rsid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077774" w14:textId="6E3EABA6" w:rsidR="004F0F3C" w:rsidRDefault="004F0F3C" w:rsidP="00035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C86E450" wp14:editId="014C7C06">
            <wp:extent cx="2609850" cy="946150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7C72" w14:textId="77777777" w:rsidR="004F0F3C" w:rsidRP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4C08D3" w14:textId="0CF61746" w:rsidR="004F0F3C" w:rsidRPr="004F0F3C" w:rsidRDefault="004F0F3C" w:rsidP="00035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5668">
        <w:rPr>
          <w:rFonts w:ascii="Arial" w:hAnsi="Arial" w:cs="Arial"/>
          <w:b/>
          <w:bCs/>
          <w:sz w:val="24"/>
          <w:szCs w:val="24"/>
        </w:rPr>
        <w:t>Figure 2</w:t>
      </w:r>
      <w:r w:rsidR="00035668" w:rsidRPr="00035668">
        <w:rPr>
          <w:rFonts w:ascii="Arial" w:hAnsi="Arial" w:cs="Arial"/>
          <w:b/>
          <w:bCs/>
          <w:sz w:val="24"/>
          <w:szCs w:val="24"/>
        </w:rPr>
        <w:t> :</w:t>
      </w:r>
      <w:r w:rsidRPr="004F0F3C">
        <w:rPr>
          <w:rFonts w:ascii="Arial" w:hAnsi="Arial" w:cs="Arial"/>
          <w:sz w:val="24"/>
          <w:szCs w:val="24"/>
        </w:rPr>
        <w:t xml:space="preserve"> Formule de l’acide polylactique (PLA)</w:t>
      </w:r>
    </w:p>
    <w:p w14:paraId="2612A6DD" w14:textId="77777777" w:rsidR="00035668" w:rsidRDefault="00035668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8312FC" w14:textId="05FBC073" w:rsidR="004F0F3C" w:rsidRP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La spectroscopie infrarouge est une méthode d’analyse fréquemment utilisée pour l’étude des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polymères afin de déterminer, par exemple, la présence d’impuretés.</w:t>
      </w:r>
    </w:p>
    <w:p w14:paraId="06175FA2" w14:textId="77777777" w:rsidR="00D3344E" w:rsidRDefault="00D3344E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BFC1BC" w14:textId="77777777" w:rsidR="00035668" w:rsidRDefault="00035668" w:rsidP="00035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628704" wp14:editId="63213A51">
            <wp:extent cx="6181247" cy="237490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62" cy="238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7FE45" w14:textId="77777777" w:rsidR="00035668" w:rsidRPr="004F0F3C" w:rsidRDefault="00035668" w:rsidP="00035668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035668">
        <w:rPr>
          <w:rFonts w:ascii="Arial" w:hAnsi="Arial" w:cs="Arial"/>
          <w:b/>
          <w:bCs/>
          <w:sz w:val="24"/>
          <w:szCs w:val="24"/>
        </w:rPr>
        <w:t>Figure 3 :</w:t>
      </w:r>
      <w:r w:rsidRPr="004F0F3C">
        <w:rPr>
          <w:rFonts w:ascii="Arial" w:hAnsi="Arial" w:cs="Arial"/>
          <w:sz w:val="24"/>
          <w:szCs w:val="24"/>
        </w:rPr>
        <w:t xml:space="preserve"> Spectres infrarouge de l’acide lactique et du PLA</w:t>
      </w:r>
    </w:p>
    <w:p w14:paraId="5DF5DEA3" w14:textId="77777777" w:rsidR="00D3344E" w:rsidRDefault="00D3344E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D3F130" w14:textId="50D179A0" w:rsidR="004F0F3C" w:rsidRPr="004F0F3C" w:rsidRDefault="004F0F3C" w:rsidP="0003566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35668">
        <w:rPr>
          <w:rFonts w:ascii="Arial" w:hAnsi="Arial" w:cs="Arial"/>
          <w:b/>
          <w:bCs/>
          <w:sz w:val="24"/>
          <w:szCs w:val="24"/>
        </w:rPr>
        <w:t>B.1.</w:t>
      </w:r>
      <w:r w:rsidR="00035668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>Attribuer chacun des deux spectres infrarouge A et B (</w:t>
      </w:r>
      <w:r w:rsidRPr="00035668">
        <w:rPr>
          <w:rFonts w:ascii="Arial" w:hAnsi="Arial" w:cs="Arial"/>
          <w:b/>
          <w:bCs/>
          <w:sz w:val="24"/>
          <w:szCs w:val="24"/>
        </w:rPr>
        <w:t>figure 3</w:t>
      </w:r>
      <w:r w:rsidRPr="004F0F3C">
        <w:rPr>
          <w:rFonts w:ascii="Arial" w:hAnsi="Arial" w:cs="Arial"/>
          <w:sz w:val="24"/>
          <w:szCs w:val="24"/>
        </w:rPr>
        <w:t>) à une espèce chimique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(acide lactique et PLA). Justifier la réponse.</w:t>
      </w:r>
    </w:p>
    <w:p w14:paraId="2542CB48" w14:textId="77777777" w:rsidR="00035668" w:rsidRDefault="00035668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052C96" w14:textId="4243272D" w:rsidR="005778B1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L’acide polylactique (PLA) se dégrade en présence d’eau en libérant de l’acide lactique selon la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transformation modélisée par la réaction d’équation</w:t>
      </w:r>
      <w:r w:rsidR="00035668">
        <w:rPr>
          <w:rFonts w:ascii="Arial" w:hAnsi="Arial" w:cs="Arial"/>
          <w:sz w:val="24"/>
          <w:szCs w:val="24"/>
        </w:rPr>
        <w:t> :</w:t>
      </w:r>
      <w:r w:rsidRPr="004F0F3C">
        <w:rPr>
          <w:rFonts w:ascii="Arial" w:hAnsi="Arial" w:cs="Arial"/>
          <w:sz w:val="24"/>
          <w:szCs w:val="24"/>
        </w:rPr>
        <w:t xml:space="preserve"> A + </w:t>
      </w:r>
      <w:r w:rsidR="00035668">
        <w:rPr>
          <w:rFonts w:ascii="Arial" w:hAnsi="Arial" w:cs="Arial"/>
          <w:sz w:val="24"/>
          <w:szCs w:val="24"/>
        </w:rPr>
        <w:t>H</w:t>
      </w:r>
      <w:r w:rsidRPr="00035668">
        <w:rPr>
          <w:rFonts w:ascii="Arial" w:hAnsi="Arial" w:cs="Arial"/>
          <w:sz w:val="24"/>
          <w:szCs w:val="24"/>
          <w:vertAlign w:val="subscript"/>
        </w:rPr>
        <w:t>2</w:t>
      </w:r>
      <w:r w:rsidR="00035668">
        <w:rPr>
          <w:rFonts w:ascii="Arial" w:hAnsi="Arial" w:cs="Arial"/>
          <w:sz w:val="24"/>
          <w:szCs w:val="24"/>
        </w:rPr>
        <w:t>O</w:t>
      </w:r>
      <w:r w:rsidRPr="004F0F3C">
        <w:rPr>
          <w:rFonts w:ascii="Arial" w:hAnsi="Arial" w:cs="Arial"/>
          <w:sz w:val="24"/>
          <w:szCs w:val="24"/>
        </w:rPr>
        <w:t xml:space="preserve"> </w:t>
      </w:r>
      <w:r w:rsidR="00035668">
        <w:rPr>
          <w:rFonts w:ascii="Arial" w:hAnsi="Arial" w:cs="Arial"/>
          <w:sz w:val="24"/>
          <w:szCs w:val="24"/>
        </w:rPr>
        <w:sym w:font="Symbol" w:char="F0AE"/>
      </w:r>
      <w:r w:rsidRPr="004F0F3C">
        <w:rPr>
          <w:rFonts w:ascii="Arial" w:hAnsi="Arial" w:cs="Arial"/>
          <w:sz w:val="24"/>
          <w:szCs w:val="24"/>
        </w:rPr>
        <w:t xml:space="preserve"> B + acide lactique, avec</w:t>
      </w:r>
      <w:r>
        <w:rPr>
          <w:rFonts w:ascii="Arial" w:hAnsi="Arial" w:cs="Arial"/>
          <w:sz w:val="24"/>
          <w:szCs w:val="24"/>
        </w:rPr>
        <w:t> :</w:t>
      </w:r>
    </w:p>
    <w:p w14:paraId="2C59472E" w14:textId="77777777" w:rsidR="00D3344E" w:rsidRDefault="00D3344E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07489" w14:textId="78CE7330" w:rsidR="00D3344E" w:rsidRDefault="00D3344E" w:rsidP="00035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D6BB6E" wp14:editId="4EBA8AE5">
            <wp:extent cx="5861050" cy="820065"/>
            <wp:effectExtent l="0" t="0" r="63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118" cy="8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B8146" w14:textId="04BBF1E9" w:rsidR="004F0F3C" w:rsidRDefault="004F0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3C2055" w14:textId="10C6A477" w:rsidR="00CB4F84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lastRenderedPageBreak/>
        <w:t>La cinétique de la transformation a été étudiée afin d’évaluer l’influence de la température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(</w:t>
      </w:r>
      <w:r w:rsidRPr="00035668">
        <w:rPr>
          <w:rFonts w:ascii="Arial" w:hAnsi="Arial" w:cs="Arial"/>
          <w:b/>
          <w:bCs/>
          <w:sz w:val="24"/>
          <w:szCs w:val="24"/>
        </w:rPr>
        <w:t>figure</w:t>
      </w:r>
      <w:r w:rsidR="00035668" w:rsidRPr="00035668">
        <w:rPr>
          <w:rFonts w:ascii="Arial" w:hAnsi="Arial" w:cs="Arial"/>
          <w:b/>
          <w:bCs/>
          <w:sz w:val="24"/>
          <w:szCs w:val="24"/>
        </w:rPr>
        <w:t> </w:t>
      </w:r>
      <w:r w:rsidRPr="00035668">
        <w:rPr>
          <w:rFonts w:ascii="Arial" w:hAnsi="Arial" w:cs="Arial"/>
          <w:b/>
          <w:bCs/>
          <w:sz w:val="24"/>
          <w:szCs w:val="24"/>
        </w:rPr>
        <w:t>4</w:t>
      </w:r>
      <w:r w:rsidRPr="004F0F3C">
        <w:rPr>
          <w:rFonts w:ascii="Arial" w:hAnsi="Arial" w:cs="Arial"/>
          <w:sz w:val="24"/>
          <w:szCs w:val="24"/>
        </w:rPr>
        <w:t>). La dégradation a été réalisée sous trois températures différentes avec une proportion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en masse de PLA à l’état initial par rapport à l’eau de 10 %.</w:t>
      </w:r>
    </w:p>
    <w:p w14:paraId="3552303F" w14:textId="77777777" w:rsid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3B8584" w14:textId="5FE3597C" w:rsidR="004F0F3C" w:rsidRDefault="004F0F3C" w:rsidP="000356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2B4FBD" wp14:editId="50C23C62">
            <wp:extent cx="5880100" cy="4763305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68" cy="478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6D7AF" w14:textId="15004C02" w:rsidR="004F0F3C" w:rsidRPr="004F0F3C" w:rsidRDefault="004F0F3C" w:rsidP="00D822D4">
      <w:pPr>
        <w:spacing w:before="60" w:after="60" w:line="240" w:lineRule="auto"/>
        <w:jc w:val="center"/>
        <w:rPr>
          <w:rFonts w:ascii="Arial" w:hAnsi="Arial" w:cs="Arial"/>
          <w:sz w:val="24"/>
          <w:szCs w:val="24"/>
        </w:rPr>
      </w:pPr>
      <w:r w:rsidRPr="00D822D4">
        <w:rPr>
          <w:rFonts w:ascii="Arial" w:hAnsi="Arial" w:cs="Arial"/>
          <w:b/>
          <w:bCs/>
          <w:sz w:val="24"/>
          <w:szCs w:val="24"/>
        </w:rPr>
        <w:t>Figure 4</w:t>
      </w:r>
      <w:r w:rsidR="00D3344E" w:rsidRPr="00D822D4">
        <w:rPr>
          <w:rFonts w:ascii="Arial" w:hAnsi="Arial" w:cs="Arial"/>
          <w:b/>
          <w:bCs/>
          <w:sz w:val="24"/>
          <w:szCs w:val="24"/>
        </w:rPr>
        <w:t> :</w:t>
      </w:r>
      <w:r w:rsidRPr="004F0F3C">
        <w:rPr>
          <w:rFonts w:ascii="Arial" w:hAnsi="Arial" w:cs="Arial"/>
          <w:sz w:val="24"/>
          <w:szCs w:val="24"/>
        </w:rPr>
        <w:t xml:space="preserve"> Suivi de la concentration en masse de PLA au cours de la réaction</w:t>
      </w:r>
    </w:p>
    <w:p w14:paraId="762D1276" w14:textId="543C56D8" w:rsidR="004F0F3C" w:rsidRPr="00D822D4" w:rsidRDefault="004F0F3C" w:rsidP="00D822D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822D4">
        <w:rPr>
          <w:rFonts w:ascii="Arial" w:hAnsi="Arial" w:cs="Arial"/>
          <w:sz w:val="20"/>
          <w:szCs w:val="20"/>
        </w:rPr>
        <w:t>Source</w:t>
      </w:r>
      <w:r w:rsidR="00D3344E" w:rsidRPr="00D822D4">
        <w:rPr>
          <w:rFonts w:ascii="Arial" w:hAnsi="Arial" w:cs="Arial"/>
          <w:sz w:val="20"/>
          <w:szCs w:val="20"/>
        </w:rPr>
        <w:t> :</w:t>
      </w:r>
      <w:r w:rsidRPr="00D822D4">
        <w:rPr>
          <w:rFonts w:ascii="Arial" w:hAnsi="Arial" w:cs="Arial"/>
          <w:sz w:val="20"/>
          <w:szCs w:val="20"/>
        </w:rPr>
        <w:t xml:space="preserve"> d’après Kinetics of Hydrolytic Degradation of PLA, J. Polym. Environ., 2013</w:t>
      </w:r>
    </w:p>
    <w:p w14:paraId="04348DDD" w14:textId="77777777" w:rsidR="00D822D4" w:rsidRDefault="00D822D4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10767F" w14:textId="4F7DCED4" w:rsid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>Le rapport</w:t>
      </w:r>
      <w:r w:rsidR="00D822D4">
        <w:rPr>
          <w:rFonts w:ascii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PLA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PLA,0</m:t>
                </m:r>
              </m:sub>
            </m:sSub>
          </m:den>
        </m:f>
      </m:oMath>
      <w:r w:rsidR="00035668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 xml:space="preserve">correspond au rapport entre la concentration en masse de PLA au temps </w:t>
      </w:r>
      <w:r w:rsidR="00D822D4" w:rsidRPr="00D822D4">
        <w:rPr>
          <w:rFonts w:ascii="Arial" w:hAnsi="Arial" w:cs="Arial"/>
          <w:i/>
          <w:iCs/>
          <w:sz w:val="24"/>
          <w:szCs w:val="24"/>
        </w:rPr>
        <w:t>t</w:t>
      </w:r>
      <w:r w:rsidRPr="004F0F3C">
        <w:rPr>
          <w:rFonts w:ascii="Arial" w:hAnsi="Arial" w:cs="Arial"/>
          <w:sz w:val="24"/>
          <w:szCs w:val="24"/>
        </w:rPr>
        <w:t xml:space="preserve"> et la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concentration en masse initiale.</w:t>
      </w:r>
    </w:p>
    <w:p w14:paraId="527CD9D7" w14:textId="77777777" w:rsidR="00D822D4" w:rsidRPr="004F0F3C" w:rsidRDefault="00D822D4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EA4B3" w14:textId="65FA217F" w:rsidR="004F0F3C" w:rsidRDefault="004F0F3C" w:rsidP="00D822D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D822D4">
        <w:rPr>
          <w:rFonts w:ascii="Arial" w:hAnsi="Arial" w:cs="Arial"/>
          <w:b/>
          <w:bCs/>
          <w:sz w:val="24"/>
          <w:szCs w:val="24"/>
        </w:rPr>
        <w:t>B.2.1.</w:t>
      </w:r>
      <w:r w:rsidR="00035668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>Identifier, à partir de données expérimentales, un ou plusieurs facteurs cinétiques.</w:t>
      </w:r>
    </w:p>
    <w:p w14:paraId="5075DF8A" w14:textId="77777777" w:rsidR="00D822D4" w:rsidRPr="004F0F3C" w:rsidRDefault="00D822D4" w:rsidP="00D822D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E9C557F" w14:textId="0E1B9568" w:rsidR="004F0F3C" w:rsidRDefault="004F0F3C" w:rsidP="00D822D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D822D4">
        <w:rPr>
          <w:rFonts w:ascii="Arial" w:hAnsi="Arial" w:cs="Arial"/>
          <w:b/>
          <w:bCs/>
          <w:sz w:val="24"/>
          <w:szCs w:val="24"/>
        </w:rPr>
        <w:t>B.2.2.</w:t>
      </w:r>
      <w:r w:rsidR="00035668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>La vitesse de cette transformation augmente en milieu acide. En déduire le rôle joué par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l’ion oxonium.</w:t>
      </w:r>
    </w:p>
    <w:p w14:paraId="04067F38" w14:textId="77777777" w:rsidR="00D822D4" w:rsidRPr="004F0F3C" w:rsidRDefault="00D822D4" w:rsidP="00D822D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61618CB" w14:textId="3CAD5B74" w:rsidR="004F0F3C" w:rsidRDefault="004F0F3C" w:rsidP="00D822D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D822D4">
        <w:rPr>
          <w:rFonts w:ascii="Arial" w:hAnsi="Arial" w:cs="Arial"/>
          <w:b/>
          <w:bCs/>
          <w:sz w:val="24"/>
          <w:szCs w:val="24"/>
        </w:rPr>
        <w:t>B.3.1.</w:t>
      </w:r>
      <w:r w:rsidR="00035668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 xml:space="preserve">Évaluer le temps de demi-réaction </w:t>
      </w:r>
      <w:r w:rsidR="00D822D4" w:rsidRPr="00D822D4">
        <w:rPr>
          <w:rFonts w:ascii="Arial" w:hAnsi="Arial" w:cs="Arial"/>
          <w:i/>
          <w:iCs/>
          <w:sz w:val="24"/>
          <w:szCs w:val="24"/>
        </w:rPr>
        <w:t>t</w:t>
      </w:r>
      <w:r w:rsidR="00D822D4" w:rsidRPr="00D822D4">
        <w:rPr>
          <w:rFonts w:ascii="Arial" w:hAnsi="Arial" w:cs="Arial"/>
          <w:sz w:val="24"/>
          <w:szCs w:val="24"/>
          <w:vertAlign w:val="subscript"/>
        </w:rPr>
        <w:t>½</w:t>
      </w:r>
      <w:r w:rsidR="00D822D4">
        <w:rPr>
          <w:rFonts w:ascii="Arial" w:hAnsi="Arial" w:cs="Arial"/>
          <w:sz w:val="24"/>
          <w:szCs w:val="24"/>
        </w:rPr>
        <w:t xml:space="preserve"> </w:t>
      </w:r>
      <w:r w:rsidRPr="004F0F3C">
        <w:rPr>
          <w:rFonts w:ascii="Arial" w:hAnsi="Arial" w:cs="Arial"/>
          <w:sz w:val="24"/>
          <w:szCs w:val="24"/>
        </w:rPr>
        <w:t>de cette transformation pour la température</w:t>
      </w:r>
      <w:r w:rsidR="00D822D4" w:rsidRPr="00D82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22D4" w:rsidRPr="00035668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D822D4">
        <w:rPr>
          <w:rFonts w:ascii="Arial" w:hAnsi="Arial" w:cs="Arial"/>
          <w:sz w:val="24"/>
          <w:szCs w:val="24"/>
        </w:rPr>
        <w:t> </w:t>
      </w:r>
      <w:r w:rsidRPr="004F0F3C">
        <w:rPr>
          <w:rFonts w:ascii="Arial" w:hAnsi="Arial" w:cs="Arial"/>
          <w:sz w:val="24"/>
          <w:szCs w:val="24"/>
        </w:rPr>
        <w:t>=</w:t>
      </w:r>
      <w:r w:rsidR="00D822D4">
        <w:rPr>
          <w:rFonts w:ascii="Arial" w:hAnsi="Arial" w:cs="Arial"/>
          <w:sz w:val="24"/>
          <w:szCs w:val="24"/>
        </w:rPr>
        <w:t> </w:t>
      </w:r>
      <w:r w:rsidRPr="004F0F3C">
        <w:rPr>
          <w:rFonts w:ascii="Arial" w:hAnsi="Arial" w:cs="Arial"/>
          <w:sz w:val="24"/>
          <w:szCs w:val="24"/>
        </w:rPr>
        <w:t>160</w:t>
      </w:r>
      <w:r w:rsidR="00D822D4">
        <w:rPr>
          <w:rFonts w:ascii="Arial" w:hAnsi="Arial" w:cs="Arial"/>
          <w:sz w:val="24"/>
          <w:szCs w:val="24"/>
        </w:rPr>
        <w:t> </w:t>
      </w:r>
      <w:r w:rsidRPr="004F0F3C">
        <w:rPr>
          <w:rFonts w:ascii="Arial" w:hAnsi="Arial" w:cs="Arial"/>
          <w:sz w:val="24"/>
          <w:szCs w:val="24"/>
        </w:rPr>
        <w:t>°C.</w:t>
      </w:r>
    </w:p>
    <w:p w14:paraId="4892622B" w14:textId="77777777" w:rsidR="00D822D4" w:rsidRPr="004F0F3C" w:rsidRDefault="00D822D4" w:rsidP="00D822D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600CD2A4" w14:textId="5D8E88FE" w:rsidR="004F0F3C" w:rsidRDefault="004F0F3C" w:rsidP="00D822D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D822D4">
        <w:rPr>
          <w:rFonts w:ascii="Arial" w:hAnsi="Arial" w:cs="Arial"/>
          <w:b/>
          <w:bCs/>
          <w:sz w:val="24"/>
          <w:szCs w:val="24"/>
        </w:rPr>
        <w:t>B.3.2.</w:t>
      </w:r>
      <w:r w:rsidR="00035668">
        <w:rPr>
          <w:rFonts w:ascii="Arial" w:hAnsi="Arial" w:cs="Arial"/>
          <w:sz w:val="24"/>
          <w:szCs w:val="24"/>
        </w:rPr>
        <w:tab/>
      </w:r>
      <w:r w:rsidRPr="004F0F3C">
        <w:rPr>
          <w:rFonts w:ascii="Arial" w:hAnsi="Arial" w:cs="Arial"/>
          <w:sz w:val="24"/>
          <w:szCs w:val="24"/>
        </w:rPr>
        <w:t xml:space="preserve">Indiquer qualitativement comment évolue le temps de demi-réaction pour </w:t>
      </w:r>
      <w:r w:rsidR="00035668" w:rsidRPr="00035668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Pr="00035668">
        <w:rPr>
          <w:rFonts w:ascii="Arial" w:hAnsi="Arial" w:cs="Arial"/>
          <w:sz w:val="24"/>
          <w:szCs w:val="24"/>
          <w:vertAlign w:val="subscript"/>
        </w:rPr>
        <w:t>1</w:t>
      </w:r>
      <w:r w:rsidRPr="004F0F3C">
        <w:rPr>
          <w:rFonts w:ascii="Arial" w:hAnsi="Arial" w:cs="Arial"/>
          <w:sz w:val="24"/>
          <w:szCs w:val="24"/>
        </w:rPr>
        <w:t xml:space="preserve"> = 140 °C et</w:t>
      </w:r>
      <w:r w:rsidR="00D3344E">
        <w:rPr>
          <w:rFonts w:ascii="Arial" w:hAnsi="Arial" w:cs="Arial"/>
          <w:sz w:val="24"/>
          <w:szCs w:val="24"/>
        </w:rPr>
        <w:t xml:space="preserve"> </w:t>
      </w:r>
      <w:r w:rsidR="00035668" w:rsidRPr="00035668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035668">
        <w:rPr>
          <w:rFonts w:ascii="Arial" w:hAnsi="Arial" w:cs="Arial"/>
          <w:sz w:val="24"/>
          <w:szCs w:val="24"/>
          <w:vertAlign w:val="subscript"/>
        </w:rPr>
        <w:t>2</w:t>
      </w:r>
      <w:r w:rsidR="00035668" w:rsidRPr="004F0F3C">
        <w:rPr>
          <w:rFonts w:ascii="Arial" w:hAnsi="Arial" w:cs="Arial"/>
          <w:sz w:val="24"/>
          <w:szCs w:val="24"/>
        </w:rPr>
        <w:t xml:space="preserve"> = 1</w:t>
      </w:r>
      <w:r w:rsidR="00FC4C1D">
        <w:rPr>
          <w:rFonts w:ascii="Arial" w:hAnsi="Arial" w:cs="Arial"/>
          <w:sz w:val="24"/>
          <w:szCs w:val="24"/>
        </w:rPr>
        <w:t>8</w:t>
      </w:r>
      <w:r w:rsidR="00035668" w:rsidRPr="004F0F3C">
        <w:rPr>
          <w:rFonts w:ascii="Arial" w:hAnsi="Arial" w:cs="Arial"/>
          <w:sz w:val="24"/>
          <w:szCs w:val="24"/>
        </w:rPr>
        <w:t>0 °C</w:t>
      </w:r>
    </w:p>
    <w:p w14:paraId="1828F113" w14:textId="230C5843" w:rsidR="004F0F3C" w:rsidRDefault="004F0F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6BA2C4" w14:textId="77777777" w:rsidR="004F0F3C" w:rsidRPr="004F0F3C" w:rsidRDefault="004F0F3C" w:rsidP="004F0F3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F0F3C">
        <w:rPr>
          <w:rFonts w:ascii="Arial" w:hAnsi="Arial" w:cs="Arial"/>
          <w:b/>
          <w:bCs/>
          <w:sz w:val="28"/>
          <w:szCs w:val="28"/>
        </w:rPr>
        <w:lastRenderedPageBreak/>
        <w:t xml:space="preserve">ANNEXE I À RENDRE AVEC LA COPIE </w:t>
      </w:r>
      <w:r w:rsidRPr="004F0F3C">
        <w:rPr>
          <w:rFonts w:ascii="Arial" w:hAnsi="Arial" w:cs="Arial"/>
          <w:b/>
          <w:bCs/>
          <w:sz w:val="28"/>
          <w:szCs w:val="28"/>
          <w:u w:val="single"/>
        </w:rPr>
        <w:t>(même non complétée)</w:t>
      </w:r>
    </w:p>
    <w:p w14:paraId="1D88F42B" w14:textId="77777777" w:rsidR="004F0F3C" w:rsidRPr="004F0F3C" w:rsidRDefault="004F0F3C" w:rsidP="004F0F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500FA2" w14:textId="0DB96CA0" w:rsidR="004F0F3C" w:rsidRPr="004F0F3C" w:rsidRDefault="004F0F3C" w:rsidP="004F0F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F0F3C">
        <w:rPr>
          <w:rFonts w:ascii="Arial" w:hAnsi="Arial" w:cs="Arial"/>
          <w:b/>
          <w:bCs/>
          <w:sz w:val="24"/>
          <w:szCs w:val="24"/>
          <w:u w:val="single"/>
        </w:rPr>
        <w:t>EXERCICE I</w:t>
      </w:r>
    </w:p>
    <w:p w14:paraId="2378FB60" w14:textId="77777777" w:rsidR="004F0F3C" w:rsidRPr="004F0F3C" w:rsidRDefault="004F0F3C" w:rsidP="004F0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A2CA6C" w14:textId="211A8FAC" w:rsidR="004F0F3C" w:rsidRDefault="004F0F3C" w:rsidP="004F0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0F3C">
        <w:rPr>
          <w:rFonts w:ascii="Arial" w:hAnsi="Arial" w:cs="Arial"/>
          <w:sz w:val="24"/>
          <w:szCs w:val="24"/>
        </w:rPr>
        <w:t xml:space="preserve">Évolution du </w:t>
      </w:r>
      <w:r w:rsidRPr="004F0F3C">
        <w:rPr>
          <w:rFonts w:ascii="Arial" w:hAnsi="Arial" w:cs="Arial"/>
          <w:b/>
          <w:bCs/>
          <w:i/>
          <w:iCs/>
          <w:sz w:val="24"/>
          <w:szCs w:val="24"/>
        </w:rPr>
        <w:t>pH</w:t>
      </w:r>
      <w:r w:rsidRPr="004F0F3C">
        <w:rPr>
          <w:rFonts w:ascii="Arial" w:hAnsi="Arial" w:cs="Arial"/>
          <w:sz w:val="24"/>
          <w:szCs w:val="24"/>
        </w:rPr>
        <w:t xml:space="preserve"> de la solution (S</w:t>
      </w:r>
      <w:r w:rsidRPr="004F0F3C">
        <w:rPr>
          <w:rFonts w:ascii="Arial" w:hAnsi="Arial" w:cs="Arial"/>
          <w:sz w:val="24"/>
          <w:szCs w:val="24"/>
          <w:vertAlign w:val="subscript"/>
        </w:rPr>
        <w:t>1</w:t>
      </w:r>
      <w:r w:rsidRPr="004F0F3C">
        <w:rPr>
          <w:rFonts w:ascii="Arial" w:hAnsi="Arial" w:cs="Arial"/>
          <w:sz w:val="24"/>
          <w:szCs w:val="24"/>
        </w:rPr>
        <w:t>) en fonction du volume de solution titrante (S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Pr="004F0F3C">
        <w:rPr>
          <w:rFonts w:ascii="Arial" w:hAnsi="Arial" w:cs="Arial"/>
          <w:sz w:val="24"/>
          <w:szCs w:val="24"/>
        </w:rPr>
        <w:t>) versé</w:t>
      </w:r>
    </w:p>
    <w:p w14:paraId="439AC1DF" w14:textId="77777777" w:rsid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A06187" w14:textId="77777777" w:rsid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6FCDEB" w14:textId="15BE6DE9" w:rsidR="004F0F3C" w:rsidRDefault="004F0F3C" w:rsidP="004F0F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FBB800B" wp14:editId="41C678AE">
            <wp:extent cx="5140829" cy="7880350"/>
            <wp:effectExtent l="0" t="0" r="3175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40" cy="789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C6AC8" w14:textId="77777777" w:rsidR="004F0F3C" w:rsidRDefault="004F0F3C" w:rsidP="004F0F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F0F3C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1DF"/>
    <w:multiLevelType w:val="hybridMultilevel"/>
    <w:tmpl w:val="5D76D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F4AD4"/>
    <w:multiLevelType w:val="hybridMultilevel"/>
    <w:tmpl w:val="E190E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A335C"/>
    <w:multiLevelType w:val="hybridMultilevel"/>
    <w:tmpl w:val="0BD8A8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3F28"/>
    <w:multiLevelType w:val="hybridMultilevel"/>
    <w:tmpl w:val="5E4E3D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C422C"/>
    <w:multiLevelType w:val="hybridMultilevel"/>
    <w:tmpl w:val="90A45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5"/>
  </w:num>
  <w:num w:numId="2" w16cid:durableId="147598150">
    <w:abstractNumId w:val="26"/>
  </w:num>
  <w:num w:numId="3" w16cid:durableId="1043673191">
    <w:abstractNumId w:val="4"/>
  </w:num>
  <w:num w:numId="4" w16cid:durableId="1554997379">
    <w:abstractNumId w:val="11"/>
  </w:num>
  <w:num w:numId="5" w16cid:durableId="1774783699">
    <w:abstractNumId w:val="16"/>
  </w:num>
  <w:num w:numId="6" w16cid:durableId="1209610847">
    <w:abstractNumId w:val="6"/>
  </w:num>
  <w:num w:numId="7" w16cid:durableId="1069693144">
    <w:abstractNumId w:val="24"/>
  </w:num>
  <w:num w:numId="8" w16cid:durableId="2051689700">
    <w:abstractNumId w:val="21"/>
  </w:num>
  <w:num w:numId="9" w16cid:durableId="216749121">
    <w:abstractNumId w:val="2"/>
  </w:num>
  <w:num w:numId="10" w16cid:durableId="745884451">
    <w:abstractNumId w:val="19"/>
  </w:num>
  <w:num w:numId="11" w16cid:durableId="1463964506">
    <w:abstractNumId w:val="27"/>
  </w:num>
  <w:num w:numId="12" w16cid:durableId="1430850099">
    <w:abstractNumId w:val="3"/>
  </w:num>
  <w:num w:numId="13" w16cid:durableId="220554775">
    <w:abstractNumId w:val="15"/>
  </w:num>
  <w:num w:numId="14" w16cid:durableId="363479020">
    <w:abstractNumId w:val="1"/>
  </w:num>
  <w:num w:numId="15" w16cid:durableId="2015108701">
    <w:abstractNumId w:val="7"/>
  </w:num>
  <w:num w:numId="16" w16cid:durableId="166361213">
    <w:abstractNumId w:val="8"/>
  </w:num>
  <w:num w:numId="17" w16cid:durableId="1337030129">
    <w:abstractNumId w:val="5"/>
  </w:num>
  <w:num w:numId="18" w16cid:durableId="1288773730">
    <w:abstractNumId w:val="18"/>
  </w:num>
  <w:num w:numId="19" w16cid:durableId="1110125383">
    <w:abstractNumId w:val="10"/>
  </w:num>
  <w:num w:numId="20" w16cid:durableId="1853911922">
    <w:abstractNumId w:val="13"/>
  </w:num>
  <w:num w:numId="21" w16cid:durableId="632447056">
    <w:abstractNumId w:val="9"/>
  </w:num>
  <w:num w:numId="22" w16cid:durableId="343560615">
    <w:abstractNumId w:val="14"/>
  </w:num>
  <w:num w:numId="23" w16cid:durableId="717507297">
    <w:abstractNumId w:val="12"/>
  </w:num>
  <w:num w:numId="24" w16cid:durableId="1468930140">
    <w:abstractNumId w:val="17"/>
  </w:num>
  <w:num w:numId="25" w16cid:durableId="1508013239">
    <w:abstractNumId w:val="23"/>
  </w:num>
  <w:num w:numId="26" w16cid:durableId="214391859">
    <w:abstractNumId w:val="22"/>
  </w:num>
  <w:num w:numId="27" w16cid:durableId="1974870856">
    <w:abstractNumId w:val="20"/>
  </w:num>
  <w:num w:numId="28" w16cid:durableId="790369454">
    <w:abstractNumId w:val="28"/>
  </w:num>
  <w:num w:numId="29" w16cid:durableId="158487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566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A66CB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87A6D"/>
    <w:rsid w:val="003D41E2"/>
    <w:rsid w:val="00417166"/>
    <w:rsid w:val="00434711"/>
    <w:rsid w:val="0045530D"/>
    <w:rsid w:val="004640CD"/>
    <w:rsid w:val="00464EFD"/>
    <w:rsid w:val="004C71DB"/>
    <w:rsid w:val="004F0F3C"/>
    <w:rsid w:val="00524858"/>
    <w:rsid w:val="00547BC8"/>
    <w:rsid w:val="00557D7D"/>
    <w:rsid w:val="0056432E"/>
    <w:rsid w:val="005778B1"/>
    <w:rsid w:val="00581ABA"/>
    <w:rsid w:val="005847DE"/>
    <w:rsid w:val="0058719A"/>
    <w:rsid w:val="005B0CDD"/>
    <w:rsid w:val="005F3CE7"/>
    <w:rsid w:val="00603DC8"/>
    <w:rsid w:val="00603F7B"/>
    <w:rsid w:val="00625CB6"/>
    <w:rsid w:val="00632BDB"/>
    <w:rsid w:val="00675FAC"/>
    <w:rsid w:val="006D1F2D"/>
    <w:rsid w:val="00772069"/>
    <w:rsid w:val="00810E4F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D4E54"/>
    <w:rsid w:val="00AE2D23"/>
    <w:rsid w:val="00B01CD2"/>
    <w:rsid w:val="00B158CD"/>
    <w:rsid w:val="00B1713C"/>
    <w:rsid w:val="00B30C3C"/>
    <w:rsid w:val="00B46774"/>
    <w:rsid w:val="00B473C0"/>
    <w:rsid w:val="00B8255A"/>
    <w:rsid w:val="00BD76B5"/>
    <w:rsid w:val="00BE35F9"/>
    <w:rsid w:val="00BE7836"/>
    <w:rsid w:val="00C045DE"/>
    <w:rsid w:val="00C507C4"/>
    <w:rsid w:val="00C73CD9"/>
    <w:rsid w:val="00C76E17"/>
    <w:rsid w:val="00CA6E2C"/>
    <w:rsid w:val="00CB4F84"/>
    <w:rsid w:val="00CD6C6A"/>
    <w:rsid w:val="00D3344E"/>
    <w:rsid w:val="00D3564C"/>
    <w:rsid w:val="00D822D4"/>
    <w:rsid w:val="00DA2CE7"/>
    <w:rsid w:val="00E01EB7"/>
    <w:rsid w:val="00E1509D"/>
    <w:rsid w:val="00EB63DF"/>
    <w:rsid w:val="00F0583B"/>
    <w:rsid w:val="00F15380"/>
    <w:rsid w:val="00F3482C"/>
    <w:rsid w:val="00FB338B"/>
    <w:rsid w:val="00FC4C1D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cp:lastPrinted>2024-06-09T20:45:00Z</cp:lastPrinted>
  <dcterms:created xsi:type="dcterms:W3CDTF">2024-04-20T09:05:00Z</dcterms:created>
  <dcterms:modified xsi:type="dcterms:W3CDTF">2024-06-09T20:45:00Z</dcterms:modified>
</cp:coreProperties>
</file>