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E6617" w14:textId="49F2AFFB" w:rsidR="00AC2FEC" w:rsidRPr="00EB20B0" w:rsidRDefault="00EB20B0" w:rsidP="00EB20B0">
      <w:pPr>
        <w:pBdr>
          <w:top w:val="single" w:sz="4" w:space="1" w:color="auto"/>
          <w:left w:val="single" w:sz="4" w:space="4" w:color="auto"/>
          <w:bottom w:val="single" w:sz="4" w:space="1" w:color="auto"/>
          <w:right w:val="single" w:sz="4" w:space="4" w:color="auto"/>
        </w:pBdr>
        <w:rPr>
          <w:b/>
          <w:bCs/>
          <w:szCs w:val="24"/>
        </w:rPr>
      </w:pPr>
      <w:r w:rsidRPr="00EB20B0">
        <w:rPr>
          <w:b/>
          <w:bCs/>
          <w:szCs w:val="24"/>
        </w:rPr>
        <w:t>Bac 2025 Asie Jour 1</w:t>
      </w:r>
      <w:r w:rsidRPr="00EB20B0">
        <w:rPr>
          <w:b/>
          <w:bCs/>
          <w:szCs w:val="24"/>
        </w:rPr>
        <w:tab/>
      </w:r>
      <w:r w:rsidR="00977F5F" w:rsidRPr="00EB20B0">
        <w:rPr>
          <w:b/>
          <w:bCs/>
          <w:szCs w:val="24"/>
        </w:rPr>
        <w:t xml:space="preserve"> Exercice 2 — Pollution ammoniacale (5 points)</w:t>
      </w:r>
    </w:p>
    <w:p w14:paraId="6EFF272A" w14:textId="0BCBE440" w:rsidR="00AC2FEC" w:rsidRPr="00EB20B0" w:rsidRDefault="00EB20B0" w:rsidP="00EB20B0">
      <w:pPr>
        <w:pBdr>
          <w:top w:val="single" w:sz="4" w:space="1" w:color="auto"/>
          <w:left w:val="single" w:sz="4" w:space="4" w:color="auto"/>
          <w:bottom w:val="single" w:sz="4" w:space="1" w:color="auto"/>
          <w:right w:val="single" w:sz="4" w:space="4" w:color="auto"/>
        </w:pBdr>
        <w:jc w:val="center"/>
        <w:rPr>
          <w:b/>
          <w:bCs/>
          <w:szCs w:val="24"/>
        </w:rPr>
      </w:pPr>
      <w:hyperlink r:id="rId7" w:history="1">
        <w:r w:rsidRPr="00EB20B0">
          <w:rPr>
            <w:rStyle w:val="Lienhypertexte"/>
            <w:b/>
            <w:bCs/>
            <w:szCs w:val="24"/>
          </w:rPr>
          <w:t>http://www.labolycee.org</w:t>
        </w:r>
      </w:hyperlink>
    </w:p>
    <w:p w14:paraId="22F7ADD7" w14:textId="77777777" w:rsidR="005053BF" w:rsidRDefault="005053BF">
      <w:pPr>
        <w:spacing w:line="240" w:lineRule="auto"/>
        <w:ind w:left="61" w:right="15"/>
        <w:jc w:val="both"/>
        <w:rPr>
          <w:rFonts w:cs="Arial"/>
          <w:szCs w:val="24"/>
        </w:rPr>
      </w:pPr>
    </w:p>
    <w:p w14:paraId="4D8E79E8" w14:textId="09412366" w:rsidR="00AC2FEC" w:rsidRPr="00EB20B0" w:rsidRDefault="00977F5F">
      <w:pPr>
        <w:spacing w:line="240" w:lineRule="auto"/>
        <w:ind w:left="61" w:right="15"/>
        <w:jc w:val="both"/>
        <w:rPr>
          <w:rFonts w:cs="Arial"/>
          <w:szCs w:val="24"/>
        </w:rPr>
      </w:pPr>
      <w:r w:rsidRPr="00EB20B0">
        <w:rPr>
          <w:rFonts w:cs="Arial"/>
          <w:szCs w:val="24"/>
        </w:rPr>
        <w:t xml:space="preserve">L'azote ammoniacal est souvent le principal indicateur chimique de pollution directe d'une eau de rivière à la suite d'un rejet polluant. C'est en détectant la présence d'azote ammoniacal que l'on peut situer le long d'un cours d'eau les rejets d'eaux usées dus, entre autres, aux déjections humaines. Dans les eaux, la présence d'azote ammoniacal ne doit pas dépasser 0,10 </w:t>
      </w:r>
      <w:proofErr w:type="spellStart"/>
      <w:r w:rsidRPr="00EB20B0">
        <w:rPr>
          <w:rFonts w:cs="Arial"/>
          <w:szCs w:val="24"/>
        </w:rPr>
        <w:t>mg</w:t>
      </w:r>
      <w:r w:rsidRPr="00EB20B0">
        <w:rPr>
          <w:rFonts w:ascii="Cambria Math" w:eastAsia="CambriaMath" w:hAnsi="Cambria Math" w:cs="Cambria Math"/>
          <w:szCs w:val="24"/>
          <w:lang w:eastAsia="ja-JP"/>
        </w:rPr>
        <w:t>⋅</w:t>
      </w:r>
      <w:r w:rsidRPr="00EB20B0">
        <w:rPr>
          <w:rFonts w:cs="Arial"/>
          <w:szCs w:val="24"/>
        </w:rPr>
        <w:t>L</w:t>
      </w:r>
      <w:proofErr w:type="spellEnd"/>
      <w:r w:rsidRPr="00EB20B0">
        <w:rPr>
          <w:rFonts w:cs="Arial"/>
          <w:szCs w:val="24"/>
          <w:vertAlign w:val="superscript"/>
        </w:rPr>
        <w:t>–1</w:t>
      </w:r>
      <w:r w:rsidRPr="00EB20B0">
        <w:rPr>
          <w:rFonts w:cs="Arial"/>
          <w:szCs w:val="24"/>
        </w:rPr>
        <w:t>.</w:t>
      </w:r>
    </w:p>
    <w:p w14:paraId="6DE7A434" w14:textId="77777777" w:rsidR="00AC2FEC" w:rsidRPr="00EB20B0" w:rsidRDefault="00AC2FEC">
      <w:pPr>
        <w:spacing w:line="240" w:lineRule="auto"/>
        <w:ind w:left="61" w:right="15"/>
        <w:jc w:val="both"/>
        <w:rPr>
          <w:rFonts w:cs="Arial"/>
          <w:szCs w:val="24"/>
        </w:rPr>
      </w:pPr>
    </w:p>
    <w:p w14:paraId="6A934072" w14:textId="77777777" w:rsidR="00AC2FEC" w:rsidRPr="00EB20B0" w:rsidRDefault="00977F5F">
      <w:pPr>
        <w:spacing w:line="240" w:lineRule="auto"/>
        <w:ind w:left="61" w:right="15"/>
        <w:jc w:val="both"/>
        <w:rPr>
          <w:rFonts w:cs="Arial"/>
          <w:szCs w:val="24"/>
        </w:rPr>
      </w:pPr>
      <w:r w:rsidRPr="00EB20B0">
        <w:rPr>
          <w:rFonts w:cs="Arial"/>
          <w:szCs w:val="24"/>
        </w:rPr>
        <w:t>L'objectif de cet exercice est de déterminer si un échantillon d'eau de rivière est pollué par l'azote ammoniacal.</w:t>
      </w:r>
    </w:p>
    <w:p w14:paraId="2E1C4270" w14:textId="77777777" w:rsidR="00AC2FEC" w:rsidRPr="00EB20B0" w:rsidRDefault="00AC2FEC">
      <w:pPr>
        <w:spacing w:line="240" w:lineRule="auto"/>
        <w:ind w:left="61" w:right="15"/>
        <w:jc w:val="both"/>
        <w:rPr>
          <w:rFonts w:cs="Arial"/>
          <w:szCs w:val="24"/>
        </w:rPr>
      </w:pPr>
    </w:p>
    <w:p w14:paraId="0D2D812E" w14:textId="77777777" w:rsidR="00AC2FEC" w:rsidRPr="00EB20B0" w:rsidRDefault="00977F5F" w:rsidP="00EB20B0">
      <w:pPr>
        <w:rPr>
          <w:b/>
          <w:bCs/>
          <w:i/>
          <w:iCs/>
          <w:szCs w:val="24"/>
          <w:u w:val="single"/>
        </w:rPr>
      </w:pPr>
      <w:r w:rsidRPr="00EB20B0">
        <w:rPr>
          <w:b/>
          <w:bCs/>
          <w:szCs w:val="24"/>
          <w:u w:val="single" w:color="000000"/>
        </w:rPr>
        <w:t>Données</w:t>
      </w:r>
      <w:r w:rsidRPr="00EB20B0">
        <w:rPr>
          <w:b/>
          <w:bCs/>
          <w:szCs w:val="24"/>
          <w:u w:val="single"/>
        </w:rPr>
        <w:t> </w:t>
      </w:r>
      <w:r w:rsidRPr="00EB20B0">
        <w:rPr>
          <w:b/>
          <w:bCs/>
          <w:szCs w:val="24"/>
          <w:u w:val="single"/>
        </w:rPr>
        <w:t>:</w:t>
      </w:r>
    </w:p>
    <w:p w14:paraId="25C187EC" w14:textId="77777777" w:rsidR="00AC2FEC" w:rsidRPr="00EB20B0" w:rsidRDefault="00977F5F">
      <w:pPr>
        <w:pStyle w:val="Paragraphedeliste"/>
        <w:numPr>
          <w:ilvl w:val="0"/>
          <w:numId w:val="2"/>
        </w:numPr>
        <w:spacing w:line="360" w:lineRule="auto"/>
        <w:ind w:right="15"/>
        <w:jc w:val="both"/>
        <w:rPr>
          <w:rFonts w:cs="Arial"/>
          <w:szCs w:val="24"/>
        </w:rPr>
      </w:pPr>
      <w:r w:rsidRPr="00EB20B0">
        <w:rPr>
          <w:rFonts w:cs="Arial"/>
          <w:szCs w:val="24"/>
        </w:rPr>
        <w:t>Numéros atomiques : Z(N) = 7 et Z(H) = 1</w:t>
      </w:r>
    </w:p>
    <w:p w14:paraId="0C8823C8" w14:textId="77777777" w:rsidR="00AC2FEC" w:rsidRPr="00EB20B0" w:rsidRDefault="00977F5F">
      <w:pPr>
        <w:pStyle w:val="Paragraphedeliste"/>
        <w:numPr>
          <w:ilvl w:val="0"/>
          <w:numId w:val="2"/>
        </w:numPr>
        <w:tabs>
          <w:tab w:val="center" w:pos="2823"/>
          <w:tab w:val="center" w:pos="7832"/>
        </w:tabs>
        <w:spacing w:line="360" w:lineRule="auto"/>
        <w:jc w:val="both"/>
        <w:rPr>
          <w:rFonts w:cs="Arial"/>
          <w:szCs w:val="24"/>
        </w:rPr>
      </w:pPr>
      <w:r w:rsidRPr="00EB20B0">
        <w:rPr>
          <w:rFonts w:cs="Arial"/>
          <w:szCs w:val="24"/>
        </w:rPr>
        <w:t xml:space="preserve">Masses molaires atomiques : M(N) = </w:t>
      </w:r>
      <w:r w:rsidRPr="00EB20B0">
        <w:rPr>
          <w:rFonts w:eastAsia="Calibri" w:cs="Arial"/>
          <w:szCs w:val="24"/>
        </w:rPr>
        <w:t xml:space="preserve">14,0 </w:t>
      </w:r>
      <w:proofErr w:type="spellStart"/>
      <w:r w:rsidRPr="00EB20B0">
        <w:rPr>
          <w:rFonts w:eastAsia="Calibri" w:cs="Arial"/>
          <w:szCs w:val="24"/>
        </w:rPr>
        <w:t>g</w:t>
      </w:r>
      <w:r w:rsidRPr="00EB20B0">
        <w:rPr>
          <w:rFonts w:ascii="Cambria Math" w:eastAsia="CambriaMath" w:hAnsi="Cambria Math" w:cs="Cambria Math"/>
          <w:szCs w:val="24"/>
          <w:lang w:eastAsia="ja-JP"/>
        </w:rPr>
        <w:t>⋅</w:t>
      </w:r>
      <w:r w:rsidRPr="00EB20B0">
        <w:rPr>
          <w:rFonts w:eastAsia="Calibri" w:cs="Arial"/>
          <w:szCs w:val="24"/>
        </w:rPr>
        <w:t>mol</w:t>
      </w:r>
      <w:proofErr w:type="spellEnd"/>
      <w:r w:rsidRPr="00EB20B0">
        <w:rPr>
          <w:rFonts w:eastAsia="Calibri" w:cs="Arial"/>
          <w:szCs w:val="24"/>
          <w:vertAlign w:val="superscript"/>
        </w:rPr>
        <w:t>–1</w:t>
      </w:r>
      <w:r w:rsidRPr="00EB20B0">
        <w:rPr>
          <w:rFonts w:eastAsia="Calibri" w:cs="Arial"/>
          <w:szCs w:val="24"/>
        </w:rPr>
        <w:tab/>
        <w:t>M(H) =</w:t>
      </w:r>
      <w:r w:rsidRPr="00EB20B0">
        <w:rPr>
          <w:rFonts w:cs="Arial"/>
          <w:szCs w:val="24"/>
        </w:rPr>
        <w:t xml:space="preserve">1,0 </w:t>
      </w:r>
      <w:proofErr w:type="spellStart"/>
      <w:r w:rsidRPr="00EB20B0">
        <w:rPr>
          <w:rFonts w:eastAsia="Calibri" w:cs="Arial"/>
          <w:szCs w:val="24"/>
        </w:rPr>
        <w:t>g</w:t>
      </w:r>
      <w:r w:rsidRPr="00EB20B0">
        <w:rPr>
          <w:rFonts w:ascii="Cambria Math" w:eastAsia="CambriaMath" w:hAnsi="Cambria Math" w:cs="Cambria Math"/>
          <w:szCs w:val="24"/>
          <w:lang w:eastAsia="ja-JP"/>
        </w:rPr>
        <w:t>⋅</w:t>
      </w:r>
      <w:r w:rsidRPr="00EB20B0">
        <w:rPr>
          <w:rFonts w:eastAsia="Calibri" w:cs="Arial"/>
          <w:szCs w:val="24"/>
        </w:rPr>
        <w:t>mol</w:t>
      </w:r>
      <w:proofErr w:type="spellEnd"/>
      <w:r w:rsidRPr="00EB20B0">
        <w:rPr>
          <w:rFonts w:eastAsia="Calibri" w:cs="Arial"/>
          <w:szCs w:val="24"/>
          <w:vertAlign w:val="superscript"/>
        </w:rPr>
        <w:t>–1</w:t>
      </w:r>
    </w:p>
    <w:p w14:paraId="5DD1683A" w14:textId="77777777" w:rsidR="00AC2FEC" w:rsidRPr="00EB20B0" w:rsidRDefault="00977F5F">
      <w:pPr>
        <w:pStyle w:val="Paragraphedeliste"/>
        <w:numPr>
          <w:ilvl w:val="0"/>
          <w:numId w:val="2"/>
        </w:numPr>
        <w:spacing w:line="360" w:lineRule="auto"/>
        <w:ind w:right="15"/>
        <w:jc w:val="both"/>
        <w:rPr>
          <w:rFonts w:cs="Arial"/>
          <w:szCs w:val="24"/>
        </w:rPr>
      </w:pPr>
      <w:r w:rsidRPr="00EB20B0">
        <w:rPr>
          <w:rFonts w:cs="Arial"/>
          <w:szCs w:val="24"/>
        </w:rPr>
        <w:t>Couples acido-basiques </w:t>
      </w:r>
      <w:r w:rsidRPr="00EB20B0">
        <w:rPr>
          <w:szCs w:val="24"/>
        </w:rPr>
        <w:t>:</w:t>
      </w:r>
    </w:p>
    <w:p w14:paraId="4598583B" w14:textId="77777777" w:rsidR="00AC2FEC" w:rsidRPr="00EB20B0" w:rsidRDefault="00977F5F">
      <w:pPr>
        <w:pStyle w:val="Paragraphedeliste"/>
        <w:numPr>
          <w:ilvl w:val="0"/>
          <w:numId w:val="3"/>
        </w:numPr>
        <w:spacing w:line="360" w:lineRule="auto"/>
        <w:ind w:right="15"/>
        <w:jc w:val="both"/>
        <w:rPr>
          <w:rFonts w:cs="Arial"/>
          <w:szCs w:val="24"/>
          <w:lang w:val="en-US"/>
        </w:rPr>
      </w:pPr>
      <w:r w:rsidRPr="00EB20B0">
        <w:rPr>
          <w:rFonts w:cs="Arial"/>
          <w:szCs w:val="24"/>
          <w:lang w:val="en-US"/>
        </w:rPr>
        <w:t xml:space="preserve">ammonium / </w:t>
      </w:r>
      <w:proofErr w:type="spellStart"/>
      <w:r w:rsidRPr="00EB20B0">
        <w:rPr>
          <w:rFonts w:cs="Arial"/>
          <w:szCs w:val="24"/>
          <w:lang w:val="en-US"/>
        </w:rPr>
        <w:t>ammoniaque</w:t>
      </w:r>
      <w:proofErr w:type="spellEnd"/>
      <w:r w:rsidRPr="00EB20B0">
        <w:rPr>
          <w:rFonts w:cs="Arial"/>
          <w:szCs w:val="24"/>
          <w:lang w:val="en-US"/>
        </w:rPr>
        <w:tab/>
        <w:t>NH</w:t>
      </w:r>
      <w:r w:rsidRPr="00EB20B0">
        <w:rPr>
          <w:rFonts w:cs="Arial"/>
          <w:szCs w:val="24"/>
          <w:vertAlign w:val="subscript"/>
          <w:lang w:val="en-US"/>
        </w:rPr>
        <w:t>4</w:t>
      </w:r>
      <w:r w:rsidRPr="00EB20B0">
        <w:rPr>
          <w:rFonts w:cs="Arial"/>
          <w:szCs w:val="24"/>
          <w:vertAlign w:val="superscript"/>
          <w:lang w:val="en-US"/>
        </w:rPr>
        <w:t>+</w:t>
      </w:r>
      <w:r w:rsidRPr="00EB20B0">
        <w:rPr>
          <w:rFonts w:cs="Arial"/>
          <w:szCs w:val="24"/>
          <w:lang w:val="en-US"/>
        </w:rPr>
        <w:t>(</w:t>
      </w:r>
      <w:proofErr w:type="spellStart"/>
      <w:r w:rsidRPr="00EB20B0">
        <w:rPr>
          <w:rFonts w:cs="Arial"/>
          <w:szCs w:val="24"/>
          <w:lang w:val="en-US"/>
        </w:rPr>
        <w:t>aq</w:t>
      </w:r>
      <w:proofErr w:type="spellEnd"/>
      <w:r w:rsidRPr="00EB20B0">
        <w:rPr>
          <w:rFonts w:cs="Arial"/>
          <w:szCs w:val="24"/>
          <w:lang w:val="en-US"/>
        </w:rPr>
        <w:t>) / NH</w:t>
      </w:r>
      <w:r w:rsidRPr="00EB20B0">
        <w:rPr>
          <w:rFonts w:cs="Arial"/>
          <w:szCs w:val="24"/>
          <w:vertAlign w:val="subscript"/>
          <w:lang w:val="en-US"/>
        </w:rPr>
        <w:t>3</w:t>
      </w:r>
      <w:r w:rsidRPr="00EB20B0">
        <w:rPr>
          <w:rFonts w:cs="Arial"/>
          <w:szCs w:val="24"/>
          <w:lang w:val="en-US"/>
        </w:rPr>
        <w:t>(</w:t>
      </w:r>
      <w:proofErr w:type="spellStart"/>
      <w:r w:rsidRPr="00EB20B0">
        <w:rPr>
          <w:rFonts w:cs="Arial"/>
          <w:szCs w:val="24"/>
          <w:lang w:val="en-US"/>
        </w:rPr>
        <w:t>aq</w:t>
      </w:r>
      <w:proofErr w:type="spellEnd"/>
      <w:r w:rsidRPr="00EB20B0">
        <w:rPr>
          <w:rFonts w:cs="Arial"/>
          <w:szCs w:val="24"/>
          <w:lang w:val="en-US"/>
        </w:rPr>
        <w:t>)</w:t>
      </w:r>
      <w:r w:rsidRPr="00EB20B0">
        <w:rPr>
          <w:rFonts w:cs="Arial"/>
          <w:szCs w:val="24"/>
          <w:lang w:val="en-US"/>
        </w:rPr>
        <w:tab/>
      </w:r>
      <w:r w:rsidRPr="00EB20B0">
        <w:rPr>
          <w:rFonts w:cs="Arial"/>
          <w:szCs w:val="24"/>
          <w:lang w:val="en-US"/>
        </w:rPr>
        <w:tab/>
        <w:t>pK</w:t>
      </w:r>
      <w:r w:rsidRPr="00EB20B0">
        <w:rPr>
          <w:rFonts w:cs="Arial"/>
          <w:szCs w:val="24"/>
          <w:vertAlign w:val="subscript"/>
          <w:lang w:val="en-US"/>
        </w:rPr>
        <w:t>A1</w:t>
      </w:r>
      <w:r w:rsidRPr="00EB20B0">
        <w:rPr>
          <w:rFonts w:cs="Arial"/>
          <w:szCs w:val="24"/>
          <w:lang w:val="en-US"/>
        </w:rPr>
        <w:t xml:space="preserve"> = 9,22 </w:t>
      </w:r>
    </w:p>
    <w:p w14:paraId="007D9D23" w14:textId="77777777" w:rsidR="00AC2FEC" w:rsidRPr="00EB20B0" w:rsidRDefault="00977F5F">
      <w:pPr>
        <w:pStyle w:val="Paragraphedeliste"/>
        <w:numPr>
          <w:ilvl w:val="0"/>
          <w:numId w:val="3"/>
        </w:numPr>
        <w:spacing w:line="360" w:lineRule="auto"/>
        <w:ind w:right="15"/>
        <w:jc w:val="both"/>
        <w:rPr>
          <w:rFonts w:cs="Arial"/>
          <w:szCs w:val="24"/>
          <w:lang w:val="en-US"/>
        </w:rPr>
      </w:pPr>
      <w:r w:rsidRPr="00EB20B0">
        <w:rPr>
          <w:rFonts w:cs="Arial"/>
          <w:szCs w:val="24"/>
          <w:lang w:val="en-US"/>
        </w:rPr>
        <w:t xml:space="preserve">eau / ion </w:t>
      </w:r>
      <w:proofErr w:type="spellStart"/>
      <w:r w:rsidRPr="00EB20B0">
        <w:rPr>
          <w:rFonts w:cs="Arial"/>
          <w:szCs w:val="24"/>
          <w:lang w:val="en-US"/>
        </w:rPr>
        <w:t>hydroxyde</w:t>
      </w:r>
      <w:proofErr w:type="spellEnd"/>
      <w:r w:rsidRPr="00EB20B0">
        <w:rPr>
          <w:rFonts w:cs="Arial"/>
          <w:szCs w:val="24"/>
          <w:lang w:val="en-US"/>
        </w:rPr>
        <w:tab/>
      </w:r>
      <w:r w:rsidRPr="00EB20B0">
        <w:rPr>
          <w:rFonts w:cs="Arial"/>
          <w:szCs w:val="24"/>
          <w:lang w:val="en-US"/>
        </w:rPr>
        <w:tab/>
        <w:t>H</w:t>
      </w:r>
      <w:r w:rsidRPr="00EB20B0">
        <w:rPr>
          <w:rFonts w:cs="Arial"/>
          <w:szCs w:val="24"/>
          <w:vertAlign w:val="subscript"/>
          <w:lang w:val="en-US"/>
        </w:rPr>
        <w:t>2</w:t>
      </w:r>
      <w:r w:rsidRPr="00EB20B0">
        <w:rPr>
          <w:rFonts w:cs="Arial"/>
          <w:szCs w:val="24"/>
          <w:lang w:val="en-US"/>
        </w:rPr>
        <w:t>O(</w:t>
      </w:r>
      <w:r w:rsidRPr="00EB20B0">
        <w:rPr>
          <w:rFonts w:ascii="Script MT Bold" w:hAnsi="Script MT Bold" w:cs="Arial"/>
          <w:bCs/>
          <w:szCs w:val="24"/>
          <w:lang w:val="en-US"/>
        </w:rPr>
        <w:t>l</w:t>
      </w:r>
      <w:r w:rsidRPr="00EB20B0">
        <w:rPr>
          <w:rFonts w:cs="Arial"/>
          <w:szCs w:val="24"/>
          <w:lang w:val="en-US"/>
        </w:rPr>
        <w:t>) / HO</w:t>
      </w:r>
      <w:r w:rsidRPr="00EB20B0">
        <w:rPr>
          <w:rFonts w:cs="Arial"/>
          <w:szCs w:val="24"/>
          <w:vertAlign w:val="superscript"/>
          <w:lang w:val="en-US"/>
        </w:rPr>
        <w:t>–</w:t>
      </w:r>
      <w:r w:rsidRPr="00EB20B0">
        <w:rPr>
          <w:rFonts w:cs="Arial"/>
          <w:szCs w:val="24"/>
          <w:lang w:val="en-US"/>
        </w:rPr>
        <w:t>(</w:t>
      </w:r>
      <w:proofErr w:type="spellStart"/>
      <w:r w:rsidRPr="00EB20B0">
        <w:rPr>
          <w:rFonts w:cs="Arial"/>
          <w:szCs w:val="24"/>
          <w:lang w:val="en-US"/>
        </w:rPr>
        <w:t>aq</w:t>
      </w:r>
      <w:proofErr w:type="spellEnd"/>
      <w:r w:rsidRPr="00EB20B0">
        <w:rPr>
          <w:rFonts w:cs="Arial"/>
          <w:szCs w:val="24"/>
          <w:lang w:val="en-US"/>
        </w:rPr>
        <w:t>)</w:t>
      </w:r>
      <w:r w:rsidRPr="00EB20B0">
        <w:rPr>
          <w:rFonts w:cs="Arial"/>
          <w:szCs w:val="24"/>
          <w:lang w:val="en-US"/>
        </w:rPr>
        <w:tab/>
      </w:r>
      <w:r w:rsidRPr="00EB20B0">
        <w:rPr>
          <w:rFonts w:cs="Arial"/>
          <w:szCs w:val="24"/>
          <w:lang w:val="en-US"/>
        </w:rPr>
        <w:tab/>
        <w:t>pK</w:t>
      </w:r>
      <w:r w:rsidRPr="00EB20B0">
        <w:rPr>
          <w:rFonts w:cs="Arial"/>
          <w:szCs w:val="24"/>
          <w:vertAlign w:val="subscript"/>
          <w:lang w:val="en-US"/>
        </w:rPr>
        <w:t>A2</w:t>
      </w:r>
      <w:r w:rsidRPr="00EB20B0">
        <w:rPr>
          <w:rFonts w:cs="Arial"/>
          <w:szCs w:val="24"/>
          <w:lang w:val="en-US"/>
        </w:rPr>
        <w:t xml:space="preserve"> = 14,0</w:t>
      </w:r>
    </w:p>
    <w:p w14:paraId="6E02090D" w14:textId="77777777" w:rsidR="00AC2FEC" w:rsidRPr="00EB20B0" w:rsidRDefault="00977F5F">
      <w:pPr>
        <w:pStyle w:val="Paragraphedeliste"/>
        <w:numPr>
          <w:ilvl w:val="0"/>
          <w:numId w:val="2"/>
        </w:numPr>
        <w:spacing w:line="360" w:lineRule="auto"/>
        <w:ind w:right="15"/>
        <w:jc w:val="both"/>
        <w:rPr>
          <w:rFonts w:cs="Arial"/>
          <w:szCs w:val="24"/>
        </w:rPr>
      </w:pPr>
      <w:r w:rsidRPr="00EB20B0">
        <w:rPr>
          <w:rFonts w:cs="Arial"/>
          <w:szCs w:val="24"/>
        </w:rPr>
        <w:t xml:space="preserve">Conductivités molaires ioniques </w:t>
      </w:r>
      <w:r w:rsidRPr="00EB20B0">
        <w:rPr>
          <w:rFonts w:ascii="Symbol" w:hAnsi="Symbol" w:cs="Arial"/>
          <w:szCs w:val="24"/>
        </w:rPr>
        <w:t>l</w:t>
      </w:r>
      <w:r w:rsidRPr="00EB20B0">
        <w:rPr>
          <w:rFonts w:cs="Arial"/>
          <w:szCs w:val="24"/>
          <w:vertAlign w:val="superscript"/>
        </w:rPr>
        <w:t xml:space="preserve">0 </w:t>
      </w:r>
      <w:r w:rsidRPr="00EB20B0">
        <w:rPr>
          <w:rFonts w:cs="Arial"/>
          <w:szCs w:val="24"/>
        </w:rPr>
        <w:t>(en mS</w:t>
      </w:r>
      <w:r w:rsidRPr="00EB20B0">
        <w:rPr>
          <w:rFonts w:ascii="Cambria Math" w:eastAsia="CambriaMath" w:hAnsi="Cambria Math" w:cs="Cambria Math"/>
          <w:szCs w:val="24"/>
          <w:lang w:eastAsia="ja-JP"/>
        </w:rPr>
        <w:t>⋅</w:t>
      </w:r>
      <w:r w:rsidRPr="00EB20B0">
        <w:rPr>
          <w:rFonts w:eastAsia="CambriaMath" w:cs="Arial"/>
          <w:szCs w:val="24"/>
          <w:lang w:eastAsia="ja-JP"/>
        </w:rPr>
        <w:t>m</w:t>
      </w:r>
      <w:r w:rsidRPr="00EB20B0">
        <w:rPr>
          <w:rFonts w:eastAsia="CambriaMath" w:cs="Arial"/>
          <w:szCs w:val="24"/>
          <w:vertAlign w:val="superscript"/>
          <w:lang w:eastAsia="ja-JP"/>
        </w:rPr>
        <w:t>2</w:t>
      </w:r>
      <w:r w:rsidRPr="00EB20B0">
        <w:rPr>
          <w:rFonts w:ascii="Cambria Math" w:eastAsia="CambriaMath" w:hAnsi="Cambria Math" w:cs="Cambria Math"/>
          <w:szCs w:val="24"/>
          <w:lang w:eastAsia="ja-JP"/>
        </w:rPr>
        <w:t>⋅</w:t>
      </w:r>
      <w:r w:rsidRPr="00EB20B0">
        <w:rPr>
          <w:rFonts w:eastAsia="CambriaMath" w:cs="Arial"/>
          <w:szCs w:val="24"/>
          <w:lang w:eastAsia="ja-JP"/>
        </w:rPr>
        <w:t>mol</w:t>
      </w:r>
      <w:r w:rsidRPr="00EB20B0">
        <w:rPr>
          <w:rFonts w:eastAsia="CambriaMath" w:cs="Arial"/>
          <w:szCs w:val="24"/>
          <w:vertAlign w:val="superscript"/>
          <w:lang w:eastAsia="ja-JP"/>
        </w:rPr>
        <w:t>–1</w:t>
      </w:r>
      <w:r w:rsidRPr="00EB20B0">
        <w:rPr>
          <w:rFonts w:eastAsia="CambriaMath" w:cs="Arial"/>
          <w:szCs w:val="24"/>
          <w:lang w:eastAsia="ja-JP"/>
        </w:rPr>
        <w:t>)</w:t>
      </w:r>
    </w:p>
    <w:tbl>
      <w:tblPr>
        <w:tblStyle w:val="TableGrid"/>
        <w:tblW w:w="4206" w:type="dxa"/>
        <w:tblInd w:w="2777" w:type="dxa"/>
        <w:tblLayout w:type="fixed"/>
        <w:tblCellMar>
          <w:left w:w="115" w:type="dxa"/>
          <w:right w:w="115" w:type="dxa"/>
        </w:tblCellMar>
        <w:tblLook w:val="04A0" w:firstRow="1" w:lastRow="0" w:firstColumn="1" w:lastColumn="0" w:noHBand="0" w:noVBand="1"/>
      </w:tblPr>
      <w:tblGrid>
        <w:gridCol w:w="1403"/>
        <w:gridCol w:w="1399"/>
        <w:gridCol w:w="1404"/>
      </w:tblGrid>
      <w:tr w:rsidR="00AC2FEC" w:rsidRPr="00EB20B0" w14:paraId="6180D904" w14:textId="77777777">
        <w:trPr>
          <w:trHeight w:val="549"/>
        </w:trPr>
        <w:tc>
          <w:tcPr>
            <w:tcW w:w="1403" w:type="dxa"/>
            <w:tcBorders>
              <w:top w:val="single" w:sz="2" w:space="0" w:color="000000"/>
              <w:left w:val="single" w:sz="2" w:space="0" w:color="000000"/>
              <w:bottom w:val="single" w:sz="2" w:space="0" w:color="000000"/>
              <w:right w:val="single" w:sz="2" w:space="0" w:color="000000"/>
            </w:tcBorders>
            <w:vAlign w:val="center"/>
          </w:tcPr>
          <w:p w14:paraId="5F22208C" w14:textId="77777777" w:rsidR="00AC2FEC" w:rsidRPr="00EB20B0" w:rsidRDefault="00977F5F">
            <w:pPr>
              <w:spacing w:line="240" w:lineRule="auto"/>
              <w:ind w:left="11"/>
              <w:jc w:val="center"/>
              <w:rPr>
                <w:rFonts w:cs="Arial"/>
              </w:rPr>
            </w:pPr>
            <w:r w:rsidRPr="00EB20B0">
              <w:rPr>
                <w:rFonts w:cs="Arial"/>
                <w:kern w:val="2"/>
                <w:lang w:val="en-US"/>
              </w:rPr>
              <w:t>NH</w:t>
            </w:r>
            <w:r w:rsidRPr="00EB20B0">
              <w:rPr>
                <w:rFonts w:cs="Arial"/>
                <w:kern w:val="2"/>
                <w:vertAlign w:val="subscript"/>
                <w:lang w:val="en-US"/>
              </w:rPr>
              <w:t>4</w:t>
            </w:r>
            <w:r w:rsidRPr="00EB20B0">
              <w:rPr>
                <w:rFonts w:cs="Arial"/>
                <w:kern w:val="2"/>
                <w:vertAlign w:val="superscript"/>
                <w:lang w:val="en-US"/>
              </w:rPr>
              <w:t>+</w:t>
            </w:r>
            <w:r w:rsidRPr="00EB20B0">
              <w:rPr>
                <w:rFonts w:cs="Arial"/>
                <w:kern w:val="2"/>
                <w:lang w:val="en-US"/>
              </w:rPr>
              <w:t>(</w:t>
            </w:r>
            <w:proofErr w:type="spellStart"/>
            <w:r w:rsidRPr="00EB20B0">
              <w:rPr>
                <w:rFonts w:cs="Arial"/>
                <w:kern w:val="2"/>
                <w:lang w:val="en-US"/>
              </w:rPr>
              <w:t>aq</w:t>
            </w:r>
            <w:proofErr w:type="spellEnd"/>
            <w:r w:rsidRPr="00EB20B0">
              <w:rPr>
                <w:rFonts w:cs="Arial"/>
                <w:kern w:val="2"/>
                <w:lang w:val="en-US"/>
              </w:rPr>
              <w:t>)</w:t>
            </w:r>
          </w:p>
        </w:tc>
        <w:tc>
          <w:tcPr>
            <w:tcW w:w="1399" w:type="dxa"/>
            <w:tcBorders>
              <w:top w:val="single" w:sz="2" w:space="0" w:color="000000"/>
              <w:left w:val="single" w:sz="2" w:space="0" w:color="000000"/>
              <w:bottom w:val="single" w:sz="2" w:space="0" w:color="000000"/>
              <w:right w:val="single" w:sz="2" w:space="0" w:color="000000"/>
            </w:tcBorders>
            <w:vAlign w:val="center"/>
          </w:tcPr>
          <w:p w14:paraId="3B4784BC" w14:textId="77777777" w:rsidR="00AC2FEC" w:rsidRPr="00EB20B0" w:rsidRDefault="00977F5F">
            <w:pPr>
              <w:spacing w:line="240" w:lineRule="auto"/>
              <w:ind w:left="9"/>
              <w:jc w:val="center"/>
              <w:rPr>
                <w:rFonts w:cs="Arial"/>
              </w:rPr>
            </w:pPr>
            <w:r w:rsidRPr="00EB20B0">
              <w:rPr>
                <w:rFonts w:cs="Arial"/>
                <w:kern w:val="2"/>
              </w:rPr>
              <w:t>Na</w:t>
            </w:r>
            <w:r w:rsidRPr="00EB20B0">
              <w:rPr>
                <w:rFonts w:cs="Arial"/>
                <w:kern w:val="2"/>
                <w:vertAlign w:val="superscript"/>
              </w:rPr>
              <w:t>+</w:t>
            </w:r>
            <w:r w:rsidRPr="00EB20B0">
              <w:rPr>
                <w:rFonts w:cs="Arial"/>
                <w:kern w:val="2"/>
              </w:rPr>
              <w:t>(</w:t>
            </w:r>
            <w:proofErr w:type="spellStart"/>
            <w:r w:rsidRPr="00EB20B0">
              <w:rPr>
                <w:rFonts w:cs="Arial"/>
                <w:kern w:val="2"/>
              </w:rPr>
              <w:t>aq</w:t>
            </w:r>
            <w:proofErr w:type="spellEnd"/>
            <w:r w:rsidRPr="00EB20B0">
              <w:rPr>
                <w:rFonts w:cs="Arial"/>
                <w:kern w:val="2"/>
              </w:rPr>
              <w:t>)</w:t>
            </w:r>
          </w:p>
        </w:tc>
        <w:tc>
          <w:tcPr>
            <w:tcW w:w="1404" w:type="dxa"/>
            <w:tcBorders>
              <w:top w:val="single" w:sz="2" w:space="0" w:color="000000"/>
              <w:left w:val="single" w:sz="2" w:space="0" w:color="000000"/>
              <w:bottom w:val="single" w:sz="2" w:space="0" w:color="000000"/>
              <w:right w:val="single" w:sz="2" w:space="0" w:color="000000"/>
            </w:tcBorders>
            <w:vAlign w:val="center"/>
          </w:tcPr>
          <w:p w14:paraId="41BBED06" w14:textId="77777777" w:rsidR="00AC2FEC" w:rsidRPr="00EB20B0" w:rsidRDefault="00977F5F">
            <w:pPr>
              <w:spacing w:line="240" w:lineRule="auto"/>
              <w:ind w:left="6"/>
              <w:jc w:val="center"/>
              <w:rPr>
                <w:rFonts w:cs="Arial"/>
              </w:rPr>
            </w:pPr>
            <w:r w:rsidRPr="00EB20B0">
              <w:rPr>
                <w:rFonts w:cs="Arial"/>
                <w:kern w:val="2"/>
                <w:lang w:val="en-US"/>
              </w:rPr>
              <w:t>HO</w:t>
            </w:r>
            <w:r w:rsidRPr="00EB20B0">
              <w:rPr>
                <w:rFonts w:cs="Arial"/>
                <w:kern w:val="2"/>
                <w:vertAlign w:val="superscript"/>
                <w:lang w:val="en-US"/>
              </w:rPr>
              <w:t>–</w:t>
            </w:r>
            <w:r w:rsidRPr="00EB20B0">
              <w:rPr>
                <w:rFonts w:cs="Arial"/>
                <w:kern w:val="2"/>
              </w:rPr>
              <w:t xml:space="preserve"> (</w:t>
            </w:r>
            <w:proofErr w:type="spellStart"/>
            <w:r w:rsidRPr="00EB20B0">
              <w:rPr>
                <w:rFonts w:cs="Arial"/>
                <w:kern w:val="2"/>
              </w:rPr>
              <w:t>aq</w:t>
            </w:r>
            <w:proofErr w:type="spellEnd"/>
            <w:r w:rsidRPr="00EB20B0">
              <w:rPr>
                <w:rFonts w:cs="Arial"/>
                <w:kern w:val="2"/>
              </w:rPr>
              <w:t>)</w:t>
            </w:r>
          </w:p>
        </w:tc>
      </w:tr>
      <w:tr w:rsidR="00AC2FEC" w:rsidRPr="00EB20B0" w14:paraId="2CF67EC8" w14:textId="77777777">
        <w:trPr>
          <w:trHeight w:val="520"/>
        </w:trPr>
        <w:tc>
          <w:tcPr>
            <w:tcW w:w="1403" w:type="dxa"/>
            <w:tcBorders>
              <w:top w:val="single" w:sz="2" w:space="0" w:color="000000"/>
              <w:left w:val="single" w:sz="2" w:space="0" w:color="000000"/>
              <w:bottom w:val="single" w:sz="2" w:space="0" w:color="000000"/>
              <w:right w:val="single" w:sz="2" w:space="0" w:color="000000"/>
            </w:tcBorders>
            <w:vAlign w:val="center"/>
          </w:tcPr>
          <w:p w14:paraId="2712667D" w14:textId="77777777" w:rsidR="00AC2FEC" w:rsidRPr="00EB20B0" w:rsidRDefault="00977F5F">
            <w:pPr>
              <w:spacing w:line="240" w:lineRule="auto"/>
              <w:ind w:left="1"/>
              <w:jc w:val="center"/>
              <w:rPr>
                <w:rFonts w:cs="Arial"/>
              </w:rPr>
            </w:pPr>
            <w:r w:rsidRPr="00EB20B0">
              <w:rPr>
                <w:rFonts w:eastAsia="Calibri" w:cs="Arial"/>
                <w:kern w:val="2"/>
              </w:rPr>
              <w:t>7,35</w:t>
            </w:r>
          </w:p>
        </w:tc>
        <w:tc>
          <w:tcPr>
            <w:tcW w:w="1399" w:type="dxa"/>
            <w:tcBorders>
              <w:top w:val="single" w:sz="2" w:space="0" w:color="000000"/>
              <w:left w:val="single" w:sz="2" w:space="0" w:color="000000"/>
              <w:bottom w:val="single" w:sz="2" w:space="0" w:color="000000"/>
              <w:right w:val="single" w:sz="2" w:space="0" w:color="000000"/>
            </w:tcBorders>
            <w:vAlign w:val="center"/>
          </w:tcPr>
          <w:p w14:paraId="07F2A2CE" w14:textId="77777777" w:rsidR="00AC2FEC" w:rsidRPr="00EB20B0" w:rsidRDefault="00977F5F">
            <w:pPr>
              <w:spacing w:line="240" w:lineRule="auto"/>
              <w:ind w:right="31"/>
              <w:jc w:val="center"/>
              <w:rPr>
                <w:rFonts w:cs="Arial"/>
              </w:rPr>
            </w:pPr>
            <w:r w:rsidRPr="00EB20B0">
              <w:rPr>
                <w:rFonts w:eastAsia="Calibri" w:cs="Arial"/>
                <w:kern w:val="2"/>
              </w:rPr>
              <w:t>5,01</w:t>
            </w:r>
          </w:p>
        </w:tc>
        <w:tc>
          <w:tcPr>
            <w:tcW w:w="1404" w:type="dxa"/>
            <w:tcBorders>
              <w:top w:val="single" w:sz="2" w:space="0" w:color="000000"/>
              <w:left w:val="single" w:sz="2" w:space="0" w:color="000000"/>
              <w:bottom w:val="single" w:sz="2" w:space="0" w:color="000000"/>
              <w:right w:val="single" w:sz="2" w:space="0" w:color="000000"/>
            </w:tcBorders>
            <w:vAlign w:val="center"/>
          </w:tcPr>
          <w:p w14:paraId="025C60B4" w14:textId="77777777" w:rsidR="00AC2FEC" w:rsidRPr="00EB20B0" w:rsidRDefault="00977F5F">
            <w:pPr>
              <w:spacing w:line="240" w:lineRule="auto"/>
              <w:ind w:left="15"/>
              <w:jc w:val="center"/>
              <w:rPr>
                <w:rFonts w:cs="Arial"/>
              </w:rPr>
            </w:pPr>
            <w:r w:rsidRPr="00EB20B0">
              <w:rPr>
                <w:rFonts w:eastAsia="Calibri" w:cs="Arial"/>
                <w:kern w:val="2"/>
              </w:rPr>
              <w:t>19,8</w:t>
            </w:r>
          </w:p>
        </w:tc>
      </w:tr>
    </w:tbl>
    <w:p w14:paraId="076A8AA4" w14:textId="77777777" w:rsidR="00AC2FEC" w:rsidRPr="00EB20B0" w:rsidRDefault="00AC2FEC">
      <w:pPr>
        <w:spacing w:line="240" w:lineRule="auto"/>
        <w:ind w:left="66" w:right="15"/>
        <w:jc w:val="both"/>
        <w:rPr>
          <w:rFonts w:cs="Arial"/>
          <w:szCs w:val="24"/>
        </w:rPr>
      </w:pPr>
    </w:p>
    <w:p w14:paraId="1D5560BD" w14:textId="77777777" w:rsidR="00AC2FEC" w:rsidRPr="00EB20B0" w:rsidRDefault="00977F5F">
      <w:pPr>
        <w:spacing w:line="240" w:lineRule="auto"/>
        <w:ind w:left="66" w:right="15"/>
        <w:jc w:val="both"/>
        <w:rPr>
          <w:rFonts w:cs="Arial"/>
          <w:szCs w:val="24"/>
        </w:rPr>
      </w:pPr>
      <w:r w:rsidRPr="00EB20B0">
        <w:rPr>
          <w:rFonts w:cs="Arial"/>
          <w:szCs w:val="24"/>
        </w:rPr>
        <w:t>Dans l'eau, en fonction du pH et de la température, l'azote ammoniacal se rencontre sous deux formes : l'ion ammonium NH</w:t>
      </w:r>
      <w:r w:rsidRPr="00EB20B0">
        <w:rPr>
          <w:rFonts w:cs="Arial"/>
          <w:szCs w:val="24"/>
          <w:vertAlign w:val="subscript"/>
        </w:rPr>
        <w:t>4</w:t>
      </w:r>
      <w:r w:rsidRPr="00EB20B0">
        <w:rPr>
          <w:rFonts w:cs="Arial"/>
          <w:szCs w:val="24"/>
          <w:vertAlign w:val="superscript"/>
        </w:rPr>
        <w:t>+</w:t>
      </w:r>
      <w:r w:rsidRPr="00EB20B0">
        <w:rPr>
          <w:rFonts w:cs="Arial"/>
          <w:szCs w:val="24"/>
        </w:rPr>
        <w:t>(</w:t>
      </w:r>
      <w:proofErr w:type="spellStart"/>
      <w:r w:rsidRPr="00EB20B0">
        <w:rPr>
          <w:rFonts w:cs="Arial"/>
          <w:szCs w:val="24"/>
        </w:rPr>
        <w:t>aq</w:t>
      </w:r>
      <w:proofErr w:type="spellEnd"/>
      <w:r w:rsidRPr="00EB20B0">
        <w:rPr>
          <w:rFonts w:cs="Arial"/>
          <w:szCs w:val="24"/>
        </w:rPr>
        <w:t>) et l'ammoniac aqueux NH</w:t>
      </w:r>
      <w:r w:rsidRPr="00EB20B0">
        <w:rPr>
          <w:rFonts w:cs="Arial"/>
          <w:szCs w:val="24"/>
          <w:vertAlign w:val="subscript"/>
        </w:rPr>
        <w:t>3</w:t>
      </w:r>
      <w:r w:rsidRPr="00EB20B0">
        <w:rPr>
          <w:rFonts w:cs="Arial"/>
          <w:szCs w:val="24"/>
        </w:rPr>
        <w:t>(</w:t>
      </w:r>
      <w:proofErr w:type="spellStart"/>
      <w:r w:rsidRPr="00EB20B0">
        <w:rPr>
          <w:rFonts w:cs="Arial"/>
          <w:szCs w:val="24"/>
        </w:rPr>
        <w:t>aq</w:t>
      </w:r>
      <w:proofErr w:type="spellEnd"/>
      <w:r w:rsidRPr="00EB20B0">
        <w:rPr>
          <w:rFonts w:cs="Arial"/>
          <w:szCs w:val="24"/>
        </w:rPr>
        <w:t>).</w:t>
      </w:r>
    </w:p>
    <w:p w14:paraId="6F6CFE1C" w14:textId="77777777" w:rsidR="00AC2FEC" w:rsidRPr="00EB20B0" w:rsidRDefault="00AC2FEC">
      <w:pPr>
        <w:spacing w:line="240" w:lineRule="auto"/>
        <w:ind w:left="66" w:right="15"/>
        <w:jc w:val="both"/>
        <w:rPr>
          <w:rFonts w:cs="Arial"/>
          <w:szCs w:val="24"/>
        </w:rPr>
      </w:pPr>
    </w:p>
    <w:p w14:paraId="435D7501" w14:textId="4878E3E2" w:rsidR="00AC2FEC" w:rsidRPr="00EB20B0" w:rsidRDefault="00977F5F">
      <w:pPr>
        <w:spacing w:line="240" w:lineRule="auto"/>
        <w:ind w:left="70" w:right="15"/>
        <w:jc w:val="both"/>
        <w:rPr>
          <w:rFonts w:cs="Arial"/>
          <w:szCs w:val="24"/>
        </w:rPr>
      </w:pPr>
      <w:r w:rsidRPr="00EB20B0">
        <w:rPr>
          <w:rFonts w:cs="Arial"/>
          <w:szCs w:val="24"/>
        </w:rPr>
        <w:t>On étudie un échantillon d'eau prélevé à 20</w:t>
      </w:r>
      <w:r w:rsidR="00EB20B0">
        <w:rPr>
          <w:rFonts w:cs="Arial"/>
          <w:szCs w:val="24"/>
        </w:rPr>
        <w:t> </w:t>
      </w:r>
      <w:proofErr w:type="spellStart"/>
      <w:r w:rsidRPr="00EB20B0">
        <w:rPr>
          <w:rFonts w:cs="Arial"/>
          <w:szCs w:val="24"/>
          <w:vertAlign w:val="superscript"/>
        </w:rPr>
        <w:t>o</w:t>
      </w:r>
      <w:r w:rsidRPr="00EB20B0">
        <w:rPr>
          <w:rFonts w:cs="Arial"/>
          <w:szCs w:val="24"/>
        </w:rPr>
        <w:t>C</w:t>
      </w:r>
      <w:proofErr w:type="spellEnd"/>
      <w:r w:rsidRPr="00EB20B0">
        <w:rPr>
          <w:rFonts w:cs="Arial"/>
          <w:szCs w:val="24"/>
        </w:rPr>
        <w:t xml:space="preserve"> dans une rivière. Son pH est égal à 7,2.</w:t>
      </w:r>
    </w:p>
    <w:p w14:paraId="735E7283" w14:textId="77777777" w:rsidR="00AC2FEC" w:rsidRPr="00EB20B0" w:rsidRDefault="00AC2FEC">
      <w:pPr>
        <w:spacing w:line="240" w:lineRule="auto"/>
        <w:ind w:left="70" w:right="15"/>
        <w:jc w:val="both"/>
        <w:rPr>
          <w:rFonts w:cs="Arial"/>
          <w:szCs w:val="24"/>
        </w:rPr>
      </w:pPr>
    </w:p>
    <w:p w14:paraId="095C12EA" w14:textId="77777777" w:rsidR="00AC2FEC" w:rsidRPr="00EB20B0" w:rsidRDefault="00977F5F">
      <w:pPr>
        <w:pStyle w:val="Paragraphedeliste"/>
        <w:numPr>
          <w:ilvl w:val="0"/>
          <w:numId w:val="4"/>
        </w:numPr>
        <w:spacing w:line="240" w:lineRule="auto"/>
        <w:ind w:left="567" w:hanging="567"/>
        <w:jc w:val="both"/>
        <w:rPr>
          <w:rFonts w:cs="Arial"/>
          <w:szCs w:val="24"/>
        </w:rPr>
      </w:pPr>
      <w:r w:rsidRPr="00EB20B0">
        <w:rPr>
          <w:rFonts w:cs="Arial"/>
          <w:szCs w:val="24"/>
        </w:rPr>
        <w:t>Définir un acide selon Brønsted.</w:t>
      </w:r>
    </w:p>
    <w:p w14:paraId="2C4E5049" w14:textId="77777777" w:rsidR="00AC2FEC" w:rsidRPr="00EB20B0" w:rsidRDefault="00AC2FEC">
      <w:pPr>
        <w:pStyle w:val="Paragraphedeliste"/>
        <w:spacing w:line="240" w:lineRule="auto"/>
        <w:ind w:left="567"/>
        <w:jc w:val="both"/>
        <w:rPr>
          <w:rFonts w:cs="Arial"/>
          <w:szCs w:val="24"/>
        </w:rPr>
      </w:pPr>
    </w:p>
    <w:p w14:paraId="536AB99D" w14:textId="77777777" w:rsidR="00AC2FEC" w:rsidRPr="00EB20B0" w:rsidRDefault="00977F5F">
      <w:pPr>
        <w:pStyle w:val="Paragraphedeliste"/>
        <w:numPr>
          <w:ilvl w:val="0"/>
          <w:numId w:val="4"/>
        </w:numPr>
        <w:spacing w:line="240" w:lineRule="auto"/>
        <w:ind w:left="567" w:hanging="567"/>
        <w:jc w:val="both"/>
        <w:rPr>
          <w:rFonts w:cs="Arial"/>
          <w:szCs w:val="24"/>
        </w:rPr>
      </w:pPr>
      <w:r w:rsidRPr="00EB20B0">
        <w:rPr>
          <w:rFonts w:cs="Arial"/>
          <w:szCs w:val="24"/>
        </w:rPr>
        <w:t>Établir le schéma de Lewis de l'ammoniac.</w:t>
      </w:r>
    </w:p>
    <w:p w14:paraId="405FA59C" w14:textId="77777777" w:rsidR="00AC2FEC" w:rsidRPr="00EB20B0" w:rsidRDefault="00AC2FEC">
      <w:pPr>
        <w:pStyle w:val="Paragraphedeliste"/>
        <w:rPr>
          <w:rFonts w:cs="Arial"/>
          <w:szCs w:val="24"/>
        </w:rPr>
      </w:pPr>
    </w:p>
    <w:p w14:paraId="306128E4"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Représenter le diagramme de prédominance du couple ion ammonium / ammoniaque.</w:t>
      </w:r>
    </w:p>
    <w:p w14:paraId="1A6A76CA" w14:textId="77777777" w:rsidR="00AC2FEC" w:rsidRPr="00EB20B0" w:rsidRDefault="00AC2FEC">
      <w:pPr>
        <w:pStyle w:val="Paragraphedeliste"/>
        <w:rPr>
          <w:rFonts w:cs="Arial"/>
          <w:szCs w:val="24"/>
        </w:rPr>
      </w:pPr>
    </w:p>
    <w:p w14:paraId="015BF38F"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Identifier, en justifiant, l'espèce ammoniacale prédominante dans l'échantillon prélevé.</w:t>
      </w:r>
    </w:p>
    <w:p w14:paraId="3F9B7610" w14:textId="77777777" w:rsidR="00AC2FEC" w:rsidRPr="00EB20B0" w:rsidRDefault="00AC2FEC">
      <w:pPr>
        <w:pStyle w:val="Paragraphedeliste"/>
        <w:rPr>
          <w:rFonts w:cs="Arial"/>
          <w:szCs w:val="24"/>
        </w:rPr>
      </w:pPr>
    </w:p>
    <w:p w14:paraId="4A0D17BC" w14:textId="77777777" w:rsidR="00AC2FEC" w:rsidRPr="00EB20B0" w:rsidRDefault="00AC2FEC">
      <w:pPr>
        <w:pStyle w:val="Paragraphedeliste"/>
        <w:spacing w:line="240" w:lineRule="auto"/>
        <w:ind w:left="567" w:right="15"/>
        <w:jc w:val="both"/>
        <w:rPr>
          <w:rFonts w:cs="Arial"/>
          <w:szCs w:val="24"/>
        </w:rPr>
      </w:pPr>
    </w:p>
    <w:p w14:paraId="73545705" w14:textId="77777777" w:rsidR="00AC2FEC" w:rsidRPr="00EB20B0" w:rsidRDefault="00977F5F">
      <w:pPr>
        <w:spacing w:line="240" w:lineRule="auto"/>
        <w:ind w:left="66"/>
        <w:jc w:val="both"/>
        <w:rPr>
          <w:rFonts w:cs="Arial"/>
          <w:i/>
          <w:iCs/>
          <w:szCs w:val="24"/>
        </w:rPr>
      </w:pPr>
      <w:r w:rsidRPr="00EB20B0">
        <w:rPr>
          <w:rFonts w:eastAsia="Calibri" w:cs="Arial"/>
          <w:i/>
          <w:iCs/>
          <w:szCs w:val="24"/>
          <w:u w:val="single" w:color="000000"/>
        </w:rPr>
        <w:t>Dans la suite de l'exercice, seul l'ion ammonium sera pris en compte dans l'analyse de l'échantillon prélevé.</w:t>
      </w:r>
    </w:p>
    <w:p w14:paraId="059B3ED9" w14:textId="77777777" w:rsidR="00AC2FEC" w:rsidRPr="00EB20B0" w:rsidRDefault="00977F5F">
      <w:pPr>
        <w:rPr>
          <w:rFonts w:cs="Arial"/>
          <w:szCs w:val="24"/>
        </w:rPr>
      </w:pPr>
      <w:r w:rsidRPr="00EB20B0">
        <w:rPr>
          <w:szCs w:val="24"/>
        </w:rPr>
        <w:br w:type="page"/>
      </w:r>
    </w:p>
    <w:p w14:paraId="2FC6D131" w14:textId="77777777" w:rsidR="00AC2FEC" w:rsidRPr="00EB20B0" w:rsidRDefault="00977F5F">
      <w:pPr>
        <w:spacing w:line="240" w:lineRule="auto"/>
        <w:ind w:left="71" w:right="15"/>
        <w:jc w:val="both"/>
        <w:rPr>
          <w:rFonts w:cs="Arial"/>
          <w:szCs w:val="24"/>
        </w:rPr>
      </w:pPr>
      <w:r w:rsidRPr="00EB20B0">
        <w:rPr>
          <w:rFonts w:cs="Arial"/>
          <w:szCs w:val="24"/>
        </w:rPr>
        <w:lastRenderedPageBreak/>
        <w:t xml:space="preserve">On réalise un titrage par suivi conductimétrique d'un volume </w:t>
      </w:r>
      <w:r w:rsidRPr="00EB20B0">
        <w:rPr>
          <w:rFonts w:cs="Arial"/>
          <w:i/>
          <w:iCs/>
          <w:szCs w:val="24"/>
        </w:rPr>
        <w:t>V</w:t>
      </w:r>
      <w:r w:rsidRPr="00EB20B0">
        <w:rPr>
          <w:rFonts w:cs="Arial"/>
          <w:szCs w:val="24"/>
        </w:rPr>
        <w:t xml:space="preserve"> = 200,0 mL de l'échantillon prélevé.</w:t>
      </w:r>
    </w:p>
    <w:p w14:paraId="28A1885A" w14:textId="77777777" w:rsidR="00AC2FEC" w:rsidRPr="00EB20B0" w:rsidRDefault="00977F5F">
      <w:pPr>
        <w:spacing w:line="240" w:lineRule="auto"/>
        <w:ind w:left="61" w:right="15"/>
        <w:jc w:val="both"/>
        <w:rPr>
          <w:rFonts w:cs="Arial"/>
          <w:szCs w:val="24"/>
        </w:rPr>
      </w:pPr>
      <w:r w:rsidRPr="00EB20B0">
        <w:rPr>
          <w:rFonts w:cs="Arial"/>
          <w:szCs w:val="24"/>
        </w:rPr>
        <w:t xml:space="preserve">Pour le titrage, on prépare 50,0 mL d'une solution titrante S de concentration en quantité de matière </w:t>
      </w:r>
      <w:r w:rsidRPr="00EB20B0">
        <w:rPr>
          <w:rFonts w:cs="Arial"/>
          <w:i/>
          <w:iCs/>
          <w:szCs w:val="24"/>
        </w:rPr>
        <w:t>c</w:t>
      </w:r>
      <w:r w:rsidRPr="00EB20B0">
        <w:rPr>
          <w:rFonts w:cs="Arial"/>
          <w:szCs w:val="24"/>
          <w:vertAlign w:val="subscript"/>
        </w:rPr>
        <w:t>1</w:t>
      </w:r>
      <w:r w:rsidRPr="00EB20B0">
        <w:rPr>
          <w:rFonts w:cs="Arial"/>
          <w:szCs w:val="24"/>
        </w:rPr>
        <w:t xml:space="preserve"> = 3,50 × 10</w:t>
      </w:r>
      <w:r w:rsidRPr="00EB20B0">
        <w:rPr>
          <w:rFonts w:cs="Arial"/>
          <w:szCs w:val="24"/>
          <w:vertAlign w:val="superscript"/>
        </w:rPr>
        <w:t>–4</w:t>
      </w:r>
      <w:r w:rsidRPr="00EB20B0">
        <w:rPr>
          <w:rFonts w:cs="Arial"/>
          <w:szCs w:val="24"/>
        </w:rPr>
        <w:t xml:space="preserve"> </w:t>
      </w:r>
      <w:proofErr w:type="spellStart"/>
      <w:r w:rsidRPr="00EB20B0">
        <w:rPr>
          <w:rFonts w:cs="Arial"/>
          <w:szCs w:val="24"/>
        </w:rPr>
        <w:t>mol</w:t>
      </w:r>
      <w:r w:rsidRPr="00EB20B0">
        <w:rPr>
          <w:rFonts w:ascii="Cambria Math" w:eastAsia="CambriaMath" w:hAnsi="Cambria Math" w:cs="Cambria Math"/>
          <w:szCs w:val="24"/>
          <w:lang w:eastAsia="ja-JP"/>
        </w:rPr>
        <w:t>⋅</w:t>
      </w:r>
      <w:r w:rsidRPr="00EB20B0">
        <w:rPr>
          <w:rFonts w:cs="Arial"/>
          <w:szCs w:val="24"/>
        </w:rPr>
        <w:t>L</w:t>
      </w:r>
      <w:proofErr w:type="spellEnd"/>
      <w:r w:rsidRPr="00EB20B0">
        <w:rPr>
          <w:rFonts w:cs="Arial"/>
          <w:szCs w:val="24"/>
          <w:vertAlign w:val="superscript"/>
        </w:rPr>
        <w:t>–1</w:t>
      </w:r>
      <w:r w:rsidRPr="00EB20B0">
        <w:rPr>
          <w:rFonts w:cs="Arial"/>
          <w:szCs w:val="24"/>
        </w:rPr>
        <w:t xml:space="preserve"> en hydroxyde de sodium (Na</w:t>
      </w:r>
      <w:r w:rsidRPr="00EB20B0">
        <w:rPr>
          <w:rFonts w:cs="Arial"/>
          <w:szCs w:val="24"/>
          <w:vertAlign w:val="superscript"/>
        </w:rPr>
        <w:t>+</w:t>
      </w:r>
      <w:r w:rsidRPr="00EB20B0">
        <w:rPr>
          <w:rFonts w:cs="Arial"/>
          <w:szCs w:val="24"/>
        </w:rPr>
        <w:t>(</w:t>
      </w:r>
      <w:proofErr w:type="spellStart"/>
      <w:r w:rsidRPr="00EB20B0">
        <w:rPr>
          <w:rFonts w:cs="Arial"/>
          <w:szCs w:val="24"/>
        </w:rPr>
        <w:t>aq</w:t>
      </w:r>
      <w:proofErr w:type="spellEnd"/>
      <w:r w:rsidRPr="00EB20B0">
        <w:rPr>
          <w:rFonts w:cs="Arial"/>
          <w:szCs w:val="24"/>
        </w:rPr>
        <w:t>), HO</w:t>
      </w:r>
      <w:r w:rsidRPr="00EB20B0">
        <w:rPr>
          <w:rFonts w:cs="Arial"/>
          <w:szCs w:val="24"/>
          <w:vertAlign w:val="superscript"/>
        </w:rPr>
        <w:t>–</w:t>
      </w:r>
      <w:r w:rsidRPr="00EB20B0">
        <w:rPr>
          <w:rFonts w:cs="Arial"/>
          <w:szCs w:val="24"/>
        </w:rPr>
        <w:t>(</w:t>
      </w:r>
      <w:proofErr w:type="spellStart"/>
      <w:r w:rsidRPr="00EB20B0">
        <w:rPr>
          <w:rFonts w:cs="Arial"/>
          <w:szCs w:val="24"/>
        </w:rPr>
        <w:t>aq</w:t>
      </w:r>
      <w:proofErr w:type="spellEnd"/>
      <w:r w:rsidRPr="00EB20B0">
        <w:rPr>
          <w:rFonts w:cs="Arial"/>
          <w:szCs w:val="24"/>
        </w:rPr>
        <w:t>)) en diluant dix fois une solution mère S</w:t>
      </w:r>
      <w:r w:rsidRPr="00EB20B0">
        <w:rPr>
          <w:rFonts w:cs="Arial"/>
          <w:szCs w:val="24"/>
          <w:vertAlign w:val="subscript"/>
        </w:rPr>
        <w:t>0</w:t>
      </w:r>
      <w:r w:rsidRPr="00EB20B0">
        <w:rPr>
          <w:rFonts w:cs="Arial"/>
          <w:szCs w:val="24"/>
        </w:rPr>
        <w:t xml:space="preserve"> disponible au laboratoire.</w:t>
      </w:r>
    </w:p>
    <w:p w14:paraId="57F89E50" w14:textId="77777777" w:rsidR="00AC2FEC" w:rsidRPr="00EB20B0" w:rsidRDefault="00AC2FEC">
      <w:pPr>
        <w:spacing w:line="240" w:lineRule="auto"/>
        <w:ind w:left="61" w:right="15"/>
        <w:jc w:val="both"/>
        <w:rPr>
          <w:rFonts w:cs="Arial"/>
          <w:szCs w:val="24"/>
        </w:rPr>
      </w:pPr>
    </w:p>
    <w:p w14:paraId="77DE570C"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Choisir, en justifiant, la verrerie utilisée pour mettre en œuvre la dilution de la solution S</w:t>
      </w:r>
      <w:r w:rsidRPr="00EB20B0">
        <w:rPr>
          <w:rFonts w:cs="Arial"/>
          <w:szCs w:val="24"/>
          <w:vertAlign w:val="subscript"/>
        </w:rPr>
        <w:t>0</w:t>
      </w:r>
      <w:r w:rsidRPr="00EB20B0">
        <w:rPr>
          <w:rFonts w:cs="Arial"/>
          <w:szCs w:val="24"/>
        </w:rPr>
        <w:t xml:space="preserve"> parmi la liste de matériel à disposition :</w:t>
      </w:r>
    </w:p>
    <w:p w14:paraId="27BE6E75" w14:textId="77777777" w:rsidR="00AC2FEC" w:rsidRPr="00EB20B0" w:rsidRDefault="00977F5F">
      <w:pPr>
        <w:numPr>
          <w:ilvl w:val="0"/>
          <w:numId w:val="1"/>
        </w:numPr>
        <w:spacing w:line="276" w:lineRule="auto"/>
        <w:ind w:left="1238" w:hanging="150"/>
        <w:jc w:val="both"/>
        <w:rPr>
          <w:rFonts w:cs="Arial"/>
          <w:szCs w:val="24"/>
        </w:rPr>
      </w:pPr>
      <w:r w:rsidRPr="00EB20B0">
        <w:rPr>
          <w:rFonts w:cs="Arial"/>
          <w:szCs w:val="24"/>
        </w:rPr>
        <w:t>un bécher</w:t>
      </w:r>
    </w:p>
    <w:p w14:paraId="4FA04529" w14:textId="77777777" w:rsidR="00AC2FEC" w:rsidRPr="00EB20B0" w:rsidRDefault="00977F5F">
      <w:pPr>
        <w:numPr>
          <w:ilvl w:val="0"/>
          <w:numId w:val="1"/>
        </w:numPr>
        <w:spacing w:line="276" w:lineRule="auto"/>
        <w:ind w:left="1238" w:hanging="150"/>
        <w:jc w:val="both"/>
        <w:rPr>
          <w:rFonts w:cs="Arial"/>
          <w:szCs w:val="24"/>
        </w:rPr>
      </w:pPr>
      <w:r w:rsidRPr="00EB20B0">
        <w:rPr>
          <w:rFonts w:cs="Arial"/>
          <w:szCs w:val="24"/>
        </w:rPr>
        <w:t>un erlenmeyer de 50 mL</w:t>
      </w:r>
    </w:p>
    <w:p w14:paraId="528A1ABF" w14:textId="77777777" w:rsidR="00AC2FEC" w:rsidRPr="00EB20B0" w:rsidRDefault="00977F5F">
      <w:pPr>
        <w:numPr>
          <w:ilvl w:val="0"/>
          <w:numId w:val="1"/>
        </w:numPr>
        <w:spacing w:line="276" w:lineRule="auto"/>
        <w:ind w:left="1238" w:hanging="150"/>
        <w:jc w:val="both"/>
        <w:rPr>
          <w:rFonts w:cs="Arial"/>
          <w:szCs w:val="24"/>
        </w:rPr>
      </w:pPr>
      <w:r w:rsidRPr="00EB20B0">
        <w:rPr>
          <w:rFonts w:cs="Arial"/>
          <w:szCs w:val="24"/>
        </w:rPr>
        <w:t>une fiole jaugée de 50,0 mL</w:t>
      </w:r>
    </w:p>
    <w:p w14:paraId="1730FDF6" w14:textId="77777777" w:rsidR="00AC2FEC" w:rsidRPr="00EB20B0" w:rsidRDefault="00977F5F">
      <w:pPr>
        <w:numPr>
          <w:ilvl w:val="0"/>
          <w:numId w:val="1"/>
        </w:numPr>
        <w:spacing w:line="276" w:lineRule="auto"/>
        <w:ind w:left="1238" w:hanging="150"/>
        <w:jc w:val="both"/>
        <w:rPr>
          <w:rFonts w:cs="Arial"/>
          <w:szCs w:val="24"/>
        </w:rPr>
      </w:pPr>
      <w:r w:rsidRPr="00EB20B0">
        <w:rPr>
          <w:rFonts w:cs="Arial"/>
          <w:szCs w:val="24"/>
        </w:rPr>
        <w:t>des pipettes jaugées : 5,0 mL ; 10,0 mL ; 50,0 mL</w:t>
      </w:r>
    </w:p>
    <w:p w14:paraId="4D8B8169" w14:textId="77777777" w:rsidR="00AC2FEC" w:rsidRPr="00EB20B0" w:rsidRDefault="00977F5F">
      <w:pPr>
        <w:numPr>
          <w:ilvl w:val="0"/>
          <w:numId w:val="1"/>
        </w:numPr>
        <w:spacing w:line="276" w:lineRule="auto"/>
        <w:ind w:left="1238" w:hanging="150"/>
        <w:jc w:val="both"/>
        <w:rPr>
          <w:rFonts w:cs="Arial"/>
          <w:szCs w:val="24"/>
        </w:rPr>
      </w:pPr>
      <w:r w:rsidRPr="00EB20B0">
        <w:rPr>
          <w:rFonts w:cs="Arial"/>
          <w:szCs w:val="24"/>
        </w:rPr>
        <w:t>des éprouvettes graduées de 5 mL et 10 mL</w:t>
      </w:r>
    </w:p>
    <w:p w14:paraId="7BF07813" w14:textId="0936B0BA" w:rsidR="00AC2FEC" w:rsidRPr="00EB20B0" w:rsidRDefault="00977F5F">
      <w:pPr>
        <w:spacing w:line="240" w:lineRule="auto"/>
        <w:ind w:left="106" w:right="15"/>
        <w:jc w:val="both"/>
        <w:rPr>
          <w:rFonts w:cs="Arial"/>
          <w:szCs w:val="24"/>
        </w:rPr>
      </w:pPr>
      <w:r w:rsidRPr="00EB20B0">
        <w:rPr>
          <w:rFonts w:cs="Arial"/>
          <w:szCs w:val="24"/>
        </w:rPr>
        <w:t xml:space="preserve">Après chaque ajout de solution titrante S, on mesure la conductivité de la solution. La figure 1 </w:t>
      </w:r>
      <w:r w:rsidRPr="00EB20B0">
        <w:rPr>
          <w:rFonts w:cs="Arial"/>
          <w:szCs w:val="24"/>
        </w:rPr>
        <w:br/>
        <w:t>ci-après donne l'évolution de la conductivité</w:t>
      </w:r>
      <w:r w:rsidR="005C3DB6" w:rsidRPr="00EB20B0">
        <w:rPr>
          <w:rFonts w:cs="Arial"/>
          <w:szCs w:val="24"/>
        </w:rPr>
        <w:t xml:space="preserve"> </w:t>
      </w:r>
      <w:r w:rsidR="005C3DB6" w:rsidRPr="00EB20B0">
        <w:rPr>
          <w:rFonts w:cs="Arial"/>
          <w:szCs w:val="24"/>
        </w:rPr>
        <w:sym w:font="Symbol" w:char="F073"/>
      </w:r>
      <w:r w:rsidRPr="00EB20B0">
        <w:rPr>
          <w:rFonts w:cs="Arial"/>
          <w:szCs w:val="24"/>
        </w:rPr>
        <w:t xml:space="preserve"> en fonction du volume V</w:t>
      </w:r>
      <w:r w:rsidR="005C3DB6" w:rsidRPr="00EB20B0">
        <w:rPr>
          <w:rFonts w:cs="Arial"/>
          <w:szCs w:val="24"/>
          <w:vertAlign w:val="subscript"/>
        </w:rPr>
        <w:t>1</w:t>
      </w:r>
      <w:r w:rsidRPr="00EB20B0">
        <w:rPr>
          <w:rFonts w:cs="Arial"/>
          <w:szCs w:val="24"/>
        </w:rPr>
        <w:t xml:space="preserve"> de solution titrante S.</w:t>
      </w:r>
    </w:p>
    <w:p w14:paraId="2B3B0173" w14:textId="77777777" w:rsidR="00AC2FEC" w:rsidRPr="00EB20B0" w:rsidRDefault="00977F5F">
      <w:pPr>
        <w:spacing w:line="240" w:lineRule="auto"/>
        <w:ind w:left="166" w:hanging="10"/>
        <w:jc w:val="both"/>
        <w:rPr>
          <w:rFonts w:cs="Arial"/>
          <w:szCs w:val="24"/>
        </w:rPr>
      </w:pPr>
      <w:r w:rsidRPr="00EB20B0">
        <w:rPr>
          <w:noProof/>
          <w:szCs w:val="24"/>
        </w:rPr>
        <w:drawing>
          <wp:inline distT="0" distB="0" distL="0" distR="0" wp14:anchorId="15296CA4" wp14:editId="71399436">
            <wp:extent cx="6481445" cy="35820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a:stretch>
                      <a:fillRect/>
                    </a:stretch>
                  </pic:blipFill>
                  <pic:spPr bwMode="auto">
                    <a:xfrm>
                      <a:off x="0" y="0"/>
                      <a:ext cx="6481445" cy="3582035"/>
                    </a:xfrm>
                    <a:prstGeom prst="rect">
                      <a:avLst/>
                    </a:prstGeom>
                    <a:noFill/>
                  </pic:spPr>
                </pic:pic>
              </a:graphicData>
            </a:graphic>
          </wp:inline>
        </w:drawing>
      </w:r>
    </w:p>
    <w:p w14:paraId="11B3680E" w14:textId="77777777" w:rsidR="00AC2FEC" w:rsidRPr="00EB20B0" w:rsidRDefault="00977F5F">
      <w:pPr>
        <w:spacing w:line="240" w:lineRule="auto"/>
        <w:ind w:left="166" w:hanging="10"/>
        <w:jc w:val="center"/>
        <w:rPr>
          <w:rFonts w:cs="Arial"/>
          <w:szCs w:val="24"/>
        </w:rPr>
      </w:pPr>
      <w:r w:rsidRPr="00EB20B0">
        <w:rPr>
          <w:rFonts w:cs="Arial"/>
          <w:szCs w:val="24"/>
        </w:rPr>
        <w:t>Figure 1 : Courbe expérimentale du titrage conductimétrique de l'échantillon d'eau</w:t>
      </w:r>
    </w:p>
    <w:p w14:paraId="2AAB9B4F" w14:textId="77777777" w:rsidR="00AC2FEC" w:rsidRPr="00EB20B0" w:rsidRDefault="00AC2FEC">
      <w:pPr>
        <w:spacing w:line="240" w:lineRule="auto"/>
        <w:ind w:left="171" w:right="15"/>
        <w:jc w:val="both"/>
        <w:rPr>
          <w:rFonts w:cs="Arial"/>
          <w:szCs w:val="24"/>
        </w:rPr>
      </w:pPr>
    </w:p>
    <w:p w14:paraId="1471DE59" w14:textId="68C40D33" w:rsidR="00AC2FEC" w:rsidRPr="00EB20B0" w:rsidRDefault="00977F5F">
      <w:pPr>
        <w:spacing w:line="240" w:lineRule="auto"/>
        <w:ind w:left="171" w:right="15"/>
        <w:jc w:val="both"/>
        <w:rPr>
          <w:rFonts w:cs="Arial"/>
          <w:szCs w:val="24"/>
        </w:rPr>
      </w:pPr>
      <w:r w:rsidRPr="00EB20B0">
        <w:rPr>
          <w:rFonts w:cs="Arial"/>
          <w:szCs w:val="24"/>
        </w:rPr>
        <w:t>L'équation de la réaction support du titrage est la suivante</w:t>
      </w:r>
      <w:r w:rsidR="00EB20B0">
        <w:rPr>
          <w:rFonts w:cs="Arial"/>
          <w:szCs w:val="24"/>
        </w:rPr>
        <w:t> </w:t>
      </w:r>
      <w:r w:rsidR="00EB20B0">
        <w:rPr>
          <w:noProof/>
          <w:szCs w:val="24"/>
        </w:rPr>
        <w:t xml:space="preserve">: </w:t>
      </w:r>
    </w:p>
    <w:p w14:paraId="131BD4AA" w14:textId="77777777" w:rsidR="00AC2FEC" w:rsidRPr="00EB20B0" w:rsidRDefault="00977F5F">
      <w:pPr>
        <w:spacing w:line="240" w:lineRule="auto"/>
        <w:ind w:left="1429" w:hanging="10"/>
        <w:jc w:val="center"/>
        <w:rPr>
          <w:rFonts w:cs="Arial"/>
          <w:szCs w:val="24"/>
        </w:rPr>
      </w:pPr>
      <w:r w:rsidRPr="00EB20B0">
        <w:rPr>
          <w:rFonts w:cs="Arial"/>
          <w:szCs w:val="24"/>
        </w:rPr>
        <w:t>NH</w:t>
      </w:r>
      <w:r w:rsidRPr="00EB20B0">
        <w:rPr>
          <w:rFonts w:cs="Arial"/>
          <w:szCs w:val="24"/>
          <w:vertAlign w:val="subscript"/>
        </w:rPr>
        <w:t>4</w:t>
      </w:r>
      <w:r w:rsidRPr="00EB20B0">
        <w:rPr>
          <w:rFonts w:cs="Arial"/>
          <w:szCs w:val="24"/>
          <w:vertAlign w:val="superscript"/>
        </w:rPr>
        <w:t>+</w:t>
      </w:r>
      <w:r w:rsidRPr="00EB20B0">
        <w:rPr>
          <w:rFonts w:cs="Arial"/>
          <w:szCs w:val="24"/>
        </w:rPr>
        <w:t>(</w:t>
      </w:r>
      <w:proofErr w:type="spellStart"/>
      <w:r w:rsidRPr="00EB20B0">
        <w:rPr>
          <w:rFonts w:cs="Arial"/>
          <w:szCs w:val="24"/>
        </w:rPr>
        <w:t>aq</w:t>
      </w:r>
      <w:proofErr w:type="spellEnd"/>
      <w:r w:rsidRPr="00EB20B0">
        <w:rPr>
          <w:rFonts w:cs="Arial"/>
          <w:szCs w:val="24"/>
        </w:rPr>
        <w:t>) + HO</w:t>
      </w:r>
      <w:r w:rsidRPr="00EB20B0">
        <w:rPr>
          <w:rFonts w:cs="Arial"/>
          <w:szCs w:val="24"/>
          <w:vertAlign w:val="superscript"/>
        </w:rPr>
        <w:t>–</w:t>
      </w:r>
      <w:r w:rsidRPr="00EB20B0">
        <w:rPr>
          <w:rFonts w:cs="Arial"/>
          <w:szCs w:val="24"/>
        </w:rPr>
        <w:t>(</w:t>
      </w:r>
      <w:proofErr w:type="spellStart"/>
      <w:r w:rsidRPr="00EB20B0">
        <w:rPr>
          <w:rFonts w:cs="Arial"/>
          <w:szCs w:val="24"/>
        </w:rPr>
        <w:t>aq</w:t>
      </w:r>
      <w:proofErr w:type="spellEnd"/>
      <w:r w:rsidRPr="00EB20B0">
        <w:rPr>
          <w:rFonts w:cs="Arial"/>
          <w:szCs w:val="24"/>
        </w:rPr>
        <w:t xml:space="preserve">) </w:t>
      </w:r>
      <w:r w:rsidRPr="00EB20B0">
        <w:rPr>
          <w:rFonts w:ascii="Symbol" w:eastAsia="Symbol" w:hAnsi="Symbol" w:cs="Symbol"/>
          <w:szCs w:val="24"/>
        </w:rPr>
        <w:sym w:font="Symbol" w:char="F0AE"/>
      </w:r>
      <w:r w:rsidRPr="00EB20B0">
        <w:rPr>
          <w:rFonts w:cs="Arial"/>
          <w:szCs w:val="24"/>
        </w:rPr>
        <w:t xml:space="preserve"> NH</w:t>
      </w:r>
      <w:r w:rsidRPr="00EB20B0">
        <w:rPr>
          <w:rFonts w:cs="Arial"/>
          <w:szCs w:val="24"/>
          <w:vertAlign w:val="subscript"/>
        </w:rPr>
        <w:t>3</w:t>
      </w:r>
      <w:r w:rsidRPr="00EB20B0">
        <w:rPr>
          <w:rFonts w:cs="Arial"/>
          <w:szCs w:val="24"/>
        </w:rPr>
        <w:t>(</w:t>
      </w:r>
      <w:proofErr w:type="spellStart"/>
      <w:r w:rsidRPr="00EB20B0">
        <w:rPr>
          <w:rFonts w:cs="Arial"/>
          <w:szCs w:val="24"/>
        </w:rPr>
        <w:t>aq</w:t>
      </w:r>
      <w:proofErr w:type="spellEnd"/>
      <w:r w:rsidRPr="00EB20B0">
        <w:rPr>
          <w:rFonts w:cs="Arial"/>
          <w:szCs w:val="24"/>
        </w:rPr>
        <w:t>) + H</w:t>
      </w:r>
      <w:r w:rsidRPr="00EB20B0">
        <w:rPr>
          <w:rFonts w:cs="Arial"/>
          <w:szCs w:val="24"/>
          <w:vertAlign w:val="subscript"/>
        </w:rPr>
        <w:t>2</w:t>
      </w:r>
      <w:r w:rsidRPr="00EB20B0">
        <w:rPr>
          <w:rFonts w:cs="Arial"/>
          <w:szCs w:val="24"/>
        </w:rPr>
        <w:t>O(</w:t>
      </w:r>
      <w:r w:rsidRPr="00EB20B0">
        <w:rPr>
          <w:rFonts w:ascii="Script MT Bold" w:hAnsi="Script MT Bold" w:cs="Arial"/>
          <w:bCs/>
          <w:szCs w:val="24"/>
        </w:rPr>
        <w:t>l</w:t>
      </w:r>
      <w:r w:rsidRPr="00EB20B0">
        <w:rPr>
          <w:rFonts w:cs="Arial"/>
          <w:szCs w:val="24"/>
        </w:rPr>
        <w:t>)</w:t>
      </w:r>
    </w:p>
    <w:p w14:paraId="2DBA3F9F" w14:textId="77777777" w:rsidR="00AC2FEC" w:rsidRPr="00EB20B0" w:rsidRDefault="00AC2FEC">
      <w:pPr>
        <w:spacing w:line="240" w:lineRule="auto"/>
        <w:ind w:left="567" w:hanging="567"/>
        <w:jc w:val="both"/>
        <w:rPr>
          <w:rFonts w:cs="Arial"/>
          <w:szCs w:val="24"/>
        </w:rPr>
      </w:pPr>
    </w:p>
    <w:p w14:paraId="5D2783A3"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Justifier sans calcul l'évolution de la courbe de la figure 1 avant et après l'équivalence.</w:t>
      </w:r>
    </w:p>
    <w:p w14:paraId="4FF1EBFD" w14:textId="77777777" w:rsidR="00AC2FEC" w:rsidRPr="00EB20B0" w:rsidRDefault="00AC2FEC">
      <w:pPr>
        <w:pStyle w:val="Paragraphedeliste"/>
        <w:spacing w:line="240" w:lineRule="auto"/>
        <w:ind w:left="567" w:right="15"/>
        <w:jc w:val="both"/>
        <w:rPr>
          <w:rFonts w:cs="Arial"/>
          <w:szCs w:val="24"/>
        </w:rPr>
      </w:pPr>
    </w:p>
    <w:p w14:paraId="0EF738B5"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 xml:space="preserve">Déterminer la valeur du volume </w:t>
      </w:r>
      <w:r w:rsidRPr="00EB20B0">
        <w:rPr>
          <w:rFonts w:cs="Arial"/>
          <w:i/>
          <w:iCs/>
          <w:szCs w:val="24"/>
        </w:rPr>
        <w:t>V</w:t>
      </w:r>
      <w:r w:rsidRPr="00EB20B0">
        <w:rPr>
          <w:rFonts w:cs="Arial"/>
          <w:szCs w:val="24"/>
          <w:vertAlign w:val="subscript"/>
        </w:rPr>
        <w:t>1E</w:t>
      </w:r>
      <w:r w:rsidRPr="00EB20B0">
        <w:rPr>
          <w:rFonts w:cs="Arial"/>
          <w:szCs w:val="24"/>
        </w:rPr>
        <w:t xml:space="preserve"> d'hydroxyde de sodium versé à l'équivalence en explicitant la méthode utilisée.</w:t>
      </w:r>
    </w:p>
    <w:p w14:paraId="3D472B88" w14:textId="77777777" w:rsidR="00AC2FEC" w:rsidRPr="00EB20B0" w:rsidRDefault="00AC2FEC">
      <w:pPr>
        <w:pStyle w:val="Paragraphedeliste"/>
        <w:rPr>
          <w:rFonts w:cs="Arial"/>
          <w:szCs w:val="24"/>
        </w:rPr>
      </w:pPr>
    </w:p>
    <w:p w14:paraId="6E5DC796" w14:textId="77777777" w:rsidR="00AC2FEC" w:rsidRPr="00EB20B0" w:rsidRDefault="00977F5F">
      <w:pPr>
        <w:pStyle w:val="Paragraphedeliste"/>
        <w:numPr>
          <w:ilvl w:val="0"/>
          <w:numId w:val="4"/>
        </w:numPr>
        <w:spacing w:line="240" w:lineRule="auto"/>
        <w:ind w:left="567" w:right="15" w:hanging="567"/>
        <w:jc w:val="both"/>
        <w:rPr>
          <w:rFonts w:cs="Arial"/>
          <w:szCs w:val="24"/>
        </w:rPr>
      </w:pPr>
      <w:r w:rsidRPr="00EB20B0">
        <w:rPr>
          <w:rFonts w:cs="Arial"/>
          <w:szCs w:val="24"/>
        </w:rPr>
        <w:t>Indiquer si l'échantillon d'eau de rivière est pollué par l'azote ammoniacal.</w:t>
      </w:r>
    </w:p>
    <w:p w14:paraId="1EBEB4C3" w14:textId="77777777" w:rsidR="00AC2FEC" w:rsidRPr="00EB20B0" w:rsidRDefault="00977F5F" w:rsidP="00EB20B0">
      <w:pPr>
        <w:spacing w:line="240" w:lineRule="auto"/>
        <w:ind w:right="144"/>
        <w:jc w:val="both"/>
        <w:rPr>
          <w:rFonts w:cs="Arial"/>
          <w:i/>
          <w:iCs/>
          <w:szCs w:val="24"/>
        </w:rPr>
      </w:pPr>
      <w:r w:rsidRPr="00EB20B0">
        <w:rPr>
          <w:rFonts w:eastAsia="Times New Roman" w:cs="Arial"/>
          <w:i/>
          <w:iCs/>
          <w:szCs w:val="24"/>
        </w:rPr>
        <w:t xml:space="preserve">Pour répondre à cette question, le candidat est invité à prendre des initiatives et à présenter la démarche suivie, même si elle n'a pas abouti. La démarche est évaluée et nécessite </w:t>
      </w:r>
      <w:r w:rsidRPr="00EB20B0">
        <w:rPr>
          <w:rFonts w:cs="Arial"/>
          <w:i/>
          <w:iCs/>
          <w:szCs w:val="24"/>
        </w:rPr>
        <w:t>d'être correctement présentée.</w:t>
      </w:r>
    </w:p>
    <w:sectPr w:rsidR="00AC2FEC" w:rsidRPr="00EB20B0">
      <w:footerReference w:type="even" r:id="rId9"/>
      <w:footerReference w:type="first" r:id="rId10"/>
      <w:pgSz w:w="11906" w:h="16742"/>
      <w:pgMar w:top="851" w:right="851" w:bottom="1273" w:left="851" w:header="0" w:footer="121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D852" w14:textId="77777777" w:rsidR="00977F5F" w:rsidRDefault="00977F5F">
      <w:pPr>
        <w:spacing w:line="240" w:lineRule="auto"/>
      </w:pPr>
      <w:r>
        <w:separator/>
      </w:r>
    </w:p>
  </w:endnote>
  <w:endnote w:type="continuationSeparator" w:id="0">
    <w:p w14:paraId="4481581C" w14:textId="77777777" w:rsidR="00977F5F" w:rsidRDefault="00977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8000029" w:usb3="00000000" w:csb0="0000019F" w:csb1="00000000"/>
  </w:font>
  <w:font w:name="Cambria Math">
    <w:panose1 w:val="02040503050406030204"/>
    <w:charset w:val="00"/>
    <w:family w:val="roman"/>
    <w:pitch w:val="variable"/>
    <w:sig w:usb0="E00006FF" w:usb1="420024FF" w:usb2="02000000" w:usb3="00000000" w:csb0="0000019F" w:csb1="00000000"/>
  </w:font>
  <w:font w:name="CambriaMath">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0773" w14:textId="77777777" w:rsidR="00AC2FEC" w:rsidRDefault="00977F5F">
    <w:pPr>
      <w:ind w:right="437"/>
      <w:jc w:val="right"/>
    </w:pPr>
    <w:r>
      <w:t xml:space="preserve">Page </w:t>
    </w:r>
    <w:r>
      <w:fldChar w:fldCharType="begin"/>
    </w:r>
    <w:r>
      <w:instrText xml:space="preserve"> PAGE </w:instrText>
    </w:r>
    <w:r>
      <w:fldChar w:fldCharType="separate"/>
    </w:r>
    <w:r>
      <w:t>0</w:t>
    </w:r>
    <w:r>
      <w:fldChar w:fldCharType="end"/>
    </w:r>
    <w:r>
      <w:rPr>
        <w:sz w:val="20"/>
      </w:rPr>
      <w:t>/</w:t>
    </w:r>
    <w:r>
      <w:fldChar w:fldCharType="begin"/>
    </w:r>
    <w:r>
      <w:instrText xml:space="preserve"> NUMPAGES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5770" w14:textId="77777777" w:rsidR="00AC2FEC" w:rsidRDefault="00977F5F">
    <w:pPr>
      <w:ind w:right="437"/>
      <w:jc w:val="right"/>
    </w:pPr>
    <w:r>
      <w:t xml:space="preserve">Page </w:t>
    </w:r>
    <w:r>
      <w:fldChar w:fldCharType="begin"/>
    </w:r>
    <w:r>
      <w:instrText xml:space="preserve"> PAGE </w:instrText>
    </w:r>
    <w:r>
      <w:fldChar w:fldCharType="separate"/>
    </w:r>
    <w:r>
      <w:t>3</w:t>
    </w:r>
    <w:r>
      <w:fldChar w:fldCharType="end"/>
    </w:r>
    <w:r>
      <w:rPr>
        <w:sz w:val="20"/>
      </w:rPr>
      <w:t>/</w:t>
    </w:r>
    <w:r>
      <w:fldChar w:fldCharType="begin"/>
    </w:r>
    <w:r>
      <w:instrText xml:space="preserve"> NUMPAGES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A68B3" w14:textId="77777777" w:rsidR="00977F5F" w:rsidRDefault="00977F5F">
      <w:pPr>
        <w:spacing w:line="240" w:lineRule="auto"/>
      </w:pPr>
      <w:r>
        <w:separator/>
      </w:r>
    </w:p>
  </w:footnote>
  <w:footnote w:type="continuationSeparator" w:id="0">
    <w:p w14:paraId="3B462058" w14:textId="77777777" w:rsidR="00977F5F" w:rsidRDefault="00977F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F2EC8"/>
    <w:multiLevelType w:val="multilevel"/>
    <w:tmpl w:val="F80C8922"/>
    <w:lvl w:ilvl="0">
      <w:start w:val="1"/>
      <w:numFmt w:val="decimal"/>
      <w:lvlText w:val="Q%1."/>
      <w:lvlJc w:val="left"/>
      <w:pPr>
        <w:tabs>
          <w:tab w:val="num" w:pos="0"/>
        </w:tabs>
        <w:ind w:left="720" w:hanging="360"/>
      </w:pPr>
      <w:rPr>
        <w:b/>
        <w:bCs/>
        <w:i w:val="0"/>
        <w:iCs w:val="0"/>
        <w:sz w:val="24"/>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C4D51D1"/>
    <w:multiLevelType w:val="multilevel"/>
    <w:tmpl w:val="E626EED0"/>
    <w:lvl w:ilvl="0">
      <w:start w:val="1"/>
      <w:numFmt w:val="bullet"/>
      <w:lvlText w:val="o"/>
      <w:lvlJc w:val="left"/>
      <w:pPr>
        <w:tabs>
          <w:tab w:val="num" w:pos="0"/>
        </w:tabs>
        <w:ind w:left="1871" w:hanging="360"/>
      </w:pPr>
      <w:rPr>
        <w:rFonts w:ascii="Courier New" w:hAnsi="Courier New" w:cs="Courier New" w:hint="default"/>
      </w:rPr>
    </w:lvl>
    <w:lvl w:ilvl="1">
      <w:start w:val="1"/>
      <w:numFmt w:val="bullet"/>
      <w:lvlText w:val="o"/>
      <w:lvlJc w:val="left"/>
      <w:pPr>
        <w:tabs>
          <w:tab w:val="num" w:pos="0"/>
        </w:tabs>
        <w:ind w:left="2591" w:hanging="360"/>
      </w:pPr>
      <w:rPr>
        <w:rFonts w:ascii="Courier New" w:hAnsi="Courier New" w:cs="Courier New" w:hint="default"/>
      </w:rPr>
    </w:lvl>
    <w:lvl w:ilvl="2">
      <w:start w:val="1"/>
      <w:numFmt w:val="bullet"/>
      <w:lvlText w:val=""/>
      <w:lvlJc w:val="left"/>
      <w:pPr>
        <w:tabs>
          <w:tab w:val="num" w:pos="0"/>
        </w:tabs>
        <w:ind w:left="3311" w:hanging="360"/>
      </w:pPr>
      <w:rPr>
        <w:rFonts w:ascii="Wingdings" w:hAnsi="Wingdings" w:cs="Wingdings" w:hint="default"/>
      </w:rPr>
    </w:lvl>
    <w:lvl w:ilvl="3">
      <w:start w:val="1"/>
      <w:numFmt w:val="bullet"/>
      <w:lvlText w:val=""/>
      <w:lvlJc w:val="left"/>
      <w:pPr>
        <w:tabs>
          <w:tab w:val="num" w:pos="0"/>
        </w:tabs>
        <w:ind w:left="4031" w:hanging="360"/>
      </w:pPr>
      <w:rPr>
        <w:rFonts w:ascii="Symbol" w:hAnsi="Symbol" w:cs="Symbol" w:hint="default"/>
      </w:rPr>
    </w:lvl>
    <w:lvl w:ilvl="4">
      <w:start w:val="1"/>
      <w:numFmt w:val="bullet"/>
      <w:lvlText w:val="o"/>
      <w:lvlJc w:val="left"/>
      <w:pPr>
        <w:tabs>
          <w:tab w:val="num" w:pos="0"/>
        </w:tabs>
        <w:ind w:left="4751" w:hanging="360"/>
      </w:pPr>
      <w:rPr>
        <w:rFonts w:ascii="Courier New" w:hAnsi="Courier New" w:cs="Courier New" w:hint="default"/>
      </w:rPr>
    </w:lvl>
    <w:lvl w:ilvl="5">
      <w:start w:val="1"/>
      <w:numFmt w:val="bullet"/>
      <w:lvlText w:val=""/>
      <w:lvlJc w:val="left"/>
      <w:pPr>
        <w:tabs>
          <w:tab w:val="num" w:pos="0"/>
        </w:tabs>
        <w:ind w:left="5471" w:hanging="360"/>
      </w:pPr>
      <w:rPr>
        <w:rFonts w:ascii="Wingdings" w:hAnsi="Wingdings" w:cs="Wingdings" w:hint="default"/>
      </w:rPr>
    </w:lvl>
    <w:lvl w:ilvl="6">
      <w:start w:val="1"/>
      <w:numFmt w:val="bullet"/>
      <w:lvlText w:val=""/>
      <w:lvlJc w:val="left"/>
      <w:pPr>
        <w:tabs>
          <w:tab w:val="num" w:pos="0"/>
        </w:tabs>
        <w:ind w:left="6191" w:hanging="360"/>
      </w:pPr>
      <w:rPr>
        <w:rFonts w:ascii="Symbol" w:hAnsi="Symbol" w:cs="Symbol" w:hint="default"/>
      </w:rPr>
    </w:lvl>
    <w:lvl w:ilvl="7">
      <w:start w:val="1"/>
      <w:numFmt w:val="bullet"/>
      <w:lvlText w:val="o"/>
      <w:lvlJc w:val="left"/>
      <w:pPr>
        <w:tabs>
          <w:tab w:val="num" w:pos="0"/>
        </w:tabs>
        <w:ind w:left="6911" w:hanging="360"/>
      </w:pPr>
      <w:rPr>
        <w:rFonts w:ascii="Courier New" w:hAnsi="Courier New" w:cs="Courier New" w:hint="default"/>
      </w:rPr>
    </w:lvl>
    <w:lvl w:ilvl="8">
      <w:start w:val="1"/>
      <w:numFmt w:val="bullet"/>
      <w:lvlText w:val=""/>
      <w:lvlJc w:val="left"/>
      <w:pPr>
        <w:tabs>
          <w:tab w:val="num" w:pos="0"/>
        </w:tabs>
        <w:ind w:left="7631" w:hanging="360"/>
      </w:pPr>
      <w:rPr>
        <w:rFonts w:ascii="Wingdings" w:hAnsi="Wingdings" w:cs="Wingdings" w:hint="default"/>
      </w:rPr>
    </w:lvl>
  </w:abstractNum>
  <w:abstractNum w:abstractNumId="2" w15:restartNumberingAfterBreak="0">
    <w:nsid w:val="423A7924"/>
    <w:multiLevelType w:val="multilevel"/>
    <w:tmpl w:val="653C4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9966ADA"/>
    <w:multiLevelType w:val="multilevel"/>
    <w:tmpl w:val="F8DEE97E"/>
    <w:lvl w:ilvl="0">
      <w:start w:val="2"/>
      <w:numFmt w:val="bullet"/>
      <w:lvlText w:val="-"/>
      <w:lvlJc w:val="left"/>
      <w:pPr>
        <w:tabs>
          <w:tab w:val="num" w:pos="0"/>
        </w:tabs>
        <w:ind w:left="1151" w:hanging="360"/>
      </w:pPr>
      <w:rPr>
        <w:rFonts w:ascii="Arial" w:eastAsiaTheme="minorHAnsi" w:hAnsi="Arial" w:cs="Arial" w:hint="default"/>
      </w:rPr>
    </w:lvl>
    <w:lvl w:ilvl="1">
      <w:start w:val="1"/>
      <w:numFmt w:val="bullet"/>
      <w:lvlText w:val="o"/>
      <w:lvlJc w:val="left"/>
      <w:pPr>
        <w:tabs>
          <w:tab w:val="num" w:pos="0"/>
        </w:tabs>
        <w:ind w:left="1871" w:hanging="360"/>
      </w:pPr>
      <w:rPr>
        <w:rFonts w:ascii="Courier New" w:hAnsi="Courier New" w:cs="Courier New" w:hint="default"/>
      </w:rPr>
    </w:lvl>
    <w:lvl w:ilvl="2">
      <w:start w:val="1"/>
      <w:numFmt w:val="bullet"/>
      <w:lvlText w:val=""/>
      <w:lvlJc w:val="left"/>
      <w:pPr>
        <w:tabs>
          <w:tab w:val="num" w:pos="0"/>
        </w:tabs>
        <w:ind w:left="2591" w:hanging="360"/>
      </w:pPr>
      <w:rPr>
        <w:rFonts w:ascii="Wingdings" w:hAnsi="Wingdings" w:cs="Wingdings" w:hint="default"/>
      </w:rPr>
    </w:lvl>
    <w:lvl w:ilvl="3">
      <w:start w:val="1"/>
      <w:numFmt w:val="bullet"/>
      <w:lvlText w:val=""/>
      <w:lvlJc w:val="left"/>
      <w:pPr>
        <w:tabs>
          <w:tab w:val="num" w:pos="0"/>
        </w:tabs>
        <w:ind w:left="3311" w:hanging="360"/>
      </w:pPr>
      <w:rPr>
        <w:rFonts w:ascii="Symbol" w:hAnsi="Symbol" w:cs="Symbol" w:hint="default"/>
      </w:rPr>
    </w:lvl>
    <w:lvl w:ilvl="4">
      <w:start w:val="1"/>
      <w:numFmt w:val="bullet"/>
      <w:lvlText w:val="o"/>
      <w:lvlJc w:val="left"/>
      <w:pPr>
        <w:tabs>
          <w:tab w:val="num" w:pos="0"/>
        </w:tabs>
        <w:ind w:left="4031" w:hanging="360"/>
      </w:pPr>
      <w:rPr>
        <w:rFonts w:ascii="Courier New" w:hAnsi="Courier New" w:cs="Courier New" w:hint="default"/>
      </w:rPr>
    </w:lvl>
    <w:lvl w:ilvl="5">
      <w:start w:val="1"/>
      <w:numFmt w:val="bullet"/>
      <w:lvlText w:val=""/>
      <w:lvlJc w:val="left"/>
      <w:pPr>
        <w:tabs>
          <w:tab w:val="num" w:pos="0"/>
        </w:tabs>
        <w:ind w:left="4751" w:hanging="360"/>
      </w:pPr>
      <w:rPr>
        <w:rFonts w:ascii="Wingdings" w:hAnsi="Wingdings" w:cs="Wingdings" w:hint="default"/>
      </w:rPr>
    </w:lvl>
    <w:lvl w:ilvl="6">
      <w:start w:val="1"/>
      <w:numFmt w:val="bullet"/>
      <w:lvlText w:val=""/>
      <w:lvlJc w:val="left"/>
      <w:pPr>
        <w:tabs>
          <w:tab w:val="num" w:pos="0"/>
        </w:tabs>
        <w:ind w:left="5471" w:hanging="360"/>
      </w:pPr>
      <w:rPr>
        <w:rFonts w:ascii="Symbol" w:hAnsi="Symbol" w:cs="Symbol" w:hint="default"/>
      </w:rPr>
    </w:lvl>
    <w:lvl w:ilvl="7">
      <w:start w:val="1"/>
      <w:numFmt w:val="bullet"/>
      <w:lvlText w:val="o"/>
      <w:lvlJc w:val="left"/>
      <w:pPr>
        <w:tabs>
          <w:tab w:val="num" w:pos="0"/>
        </w:tabs>
        <w:ind w:left="6191" w:hanging="360"/>
      </w:pPr>
      <w:rPr>
        <w:rFonts w:ascii="Courier New" w:hAnsi="Courier New" w:cs="Courier New" w:hint="default"/>
      </w:rPr>
    </w:lvl>
    <w:lvl w:ilvl="8">
      <w:start w:val="1"/>
      <w:numFmt w:val="bullet"/>
      <w:lvlText w:val=""/>
      <w:lvlJc w:val="left"/>
      <w:pPr>
        <w:tabs>
          <w:tab w:val="num" w:pos="0"/>
        </w:tabs>
        <w:ind w:left="6911" w:hanging="360"/>
      </w:pPr>
      <w:rPr>
        <w:rFonts w:ascii="Wingdings" w:hAnsi="Wingdings" w:cs="Wingdings" w:hint="default"/>
      </w:rPr>
    </w:lvl>
  </w:abstractNum>
  <w:abstractNum w:abstractNumId="4" w15:restartNumberingAfterBreak="0">
    <w:nsid w:val="6EF504E7"/>
    <w:multiLevelType w:val="multilevel"/>
    <w:tmpl w:val="A01CD192"/>
    <w:lvl w:ilvl="0">
      <w:start w:val="1"/>
      <w:numFmt w:val="bullet"/>
      <w:lvlText w:val="-"/>
      <w:lvlJc w:val="left"/>
      <w:pPr>
        <w:tabs>
          <w:tab w:val="num" w:pos="0"/>
        </w:tabs>
        <w:ind w:left="1239"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1">
      <w:start w:val="1"/>
      <w:numFmt w:val="bullet"/>
      <w:lvlText w:val="o"/>
      <w:lvlJc w:val="left"/>
      <w:pPr>
        <w:tabs>
          <w:tab w:val="num" w:pos="0"/>
        </w:tabs>
        <w:ind w:left="211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2">
      <w:start w:val="1"/>
      <w:numFmt w:val="bullet"/>
      <w:lvlText w:val="▪"/>
      <w:lvlJc w:val="left"/>
      <w:pPr>
        <w:tabs>
          <w:tab w:val="num" w:pos="0"/>
        </w:tabs>
        <w:ind w:left="28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3">
      <w:start w:val="1"/>
      <w:numFmt w:val="bullet"/>
      <w:lvlText w:val="•"/>
      <w:lvlJc w:val="left"/>
      <w:pPr>
        <w:tabs>
          <w:tab w:val="num" w:pos="0"/>
        </w:tabs>
        <w:ind w:left="35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4">
      <w:start w:val="1"/>
      <w:numFmt w:val="bullet"/>
      <w:lvlText w:val="o"/>
      <w:lvlJc w:val="left"/>
      <w:pPr>
        <w:tabs>
          <w:tab w:val="num" w:pos="0"/>
        </w:tabs>
        <w:ind w:left="427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5">
      <w:start w:val="1"/>
      <w:numFmt w:val="bullet"/>
      <w:lvlText w:val="▪"/>
      <w:lvlJc w:val="left"/>
      <w:pPr>
        <w:tabs>
          <w:tab w:val="num" w:pos="0"/>
        </w:tabs>
        <w:ind w:left="499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6">
      <w:start w:val="1"/>
      <w:numFmt w:val="bullet"/>
      <w:lvlText w:val="•"/>
      <w:lvlJc w:val="left"/>
      <w:pPr>
        <w:tabs>
          <w:tab w:val="num" w:pos="0"/>
        </w:tabs>
        <w:ind w:left="571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7">
      <w:start w:val="1"/>
      <w:numFmt w:val="bullet"/>
      <w:lvlText w:val="o"/>
      <w:lvlJc w:val="left"/>
      <w:pPr>
        <w:tabs>
          <w:tab w:val="num" w:pos="0"/>
        </w:tabs>
        <w:ind w:left="64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8">
      <w:start w:val="1"/>
      <w:numFmt w:val="bullet"/>
      <w:lvlText w:val="▪"/>
      <w:lvlJc w:val="left"/>
      <w:pPr>
        <w:tabs>
          <w:tab w:val="num" w:pos="0"/>
        </w:tabs>
        <w:ind w:left="71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abstractNum>
  <w:num w:numId="1" w16cid:durableId="2018455168">
    <w:abstractNumId w:val="4"/>
  </w:num>
  <w:num w:numId="2" w16cid:durableId="866677778">
    <w:abstractNumId w:val="3"/>
  </w:num>
  <w:num w:numId="3" w16cid:durableId="261770388">
    <w:abstractNumId w:val="1"/>
  </w:num>
  <w:num w:numId="4" w16cid:durableId="1019619248">
    <w:abstractNumId w:val="0"/>
  </w:num>
  <w:num w:numId="5" w16cid:durableId="1063992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EC"/>
    <w:rsid w:val="005053BF"/>
    <w:rsid w:val="005C3DB6"/>
    <w:rsid w:val="00977F5F"/>
    <w:rsid w:val="00AA3EED"/>
    <w:rsid w:val="00AC2FEC"/>
    <w:rsid w:val="00C76C5A"/>
    <w:rsid w:val="00CB1D1E"/>
    <w:rsid w:val="00EB20B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42AF"/>
  <w15:docId w15:val="{4BFE9E1F-C384-4481-ADF8-2A9075C1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0B0"/>
    <w:pPr>
      <w:spacing w:line="259" w:lineRule="auto"/>
    </w:pPr>
    <w:rPr>
      <w:rFonts w:ascii="Arial" w:hAnsi="Arial"/>
      <w:sz w:val="24"/>
    </w:rPr>
  </w:style>
  <w:style w:type="paragraph" w:styleId="Titre1">
    <w:name w:val="heading 1"/>
    <w:basedOn w:val="Normal"/>
    <w:next w:val="Normal"/>
    <w:link w:val="Titre1Car"/>
    <w:uiPriority w:val="9"/>
    <w:qFormat/>
    <w:rsid w:val="001A31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1A31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1A319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1A319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unhideWhenUsed/>
    <w:qFormat/>
    <w:rsid w:val="001A319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A319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319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319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319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qFormat/>
    <w:rsid w:val="001A319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qFormat/>
    <w:rsid w:val="001A319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qFormat/>
    <w:rsid w:val="001A3193"/>
    <w:rPr>
      <w:rFonts w:eastAsiaTheme="majorEastAsia" w:cstheme="majorBidi"/>
      <w:color w:val="2F5496" w:themeColor="accent1" w:themeShade="BF"/>
      <w:sz w:val="28"/>
      <w:szCs w:val="28"/>
    </w:rPr>
  </w:style>
  <w:style w:type="character" w:customStyle="1" w:styleId="Titre4Car">
    <w:name w:val="Titre 4 Car"/>
    <w:basedOn w:val="Policepardfaut"/>
    <w:link w:val="Titre4"/>
    <w:qFormat/>
    <w:rsid w:val="001A3193"/>
    <w:rPr>
      <w:rFonts w:eastAsiaTheme="majorEastAsia" w:cstheme="majorBidi"/>
      <w:i/>
      <w:iCs/>
      <w:color w:val="2F5496" w:themeColor="accent1" w:themeShade="BF"/>
    </w:rPr>
  </w:style>
  <w:style w:type="character" w:customStyle="1" w:styleId="Titre5Car">
    <w:name w:val="Titre 5 Car"/>
    <w:basedOn w:val="Policepardfaut"/>
    <w:link w:val="Titre5"/>
    <w:qFormat/>
    <w:rsid w:val="001A3193"/>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1A319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1A3193"/>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1A319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1A3193"/>
    <w:rPr>
      <w:rFonts w:eastAsiaTheme="majorEastAsia" w:cstheme="majorBidi"/>
      <w:color w:val="272727" w:themeColor="text1" w:themeTint="D8"/>
    </w:rPr>
  </w:style>
  <w:style w:type="character" w:customStyle="1" w:styleId="TitreCar">
    <w:name w:val="Titre Car"/>
    <w:basedOn w:val="Policepardfaut"/>
    <w:link w:val="Titre"/>
    <w:uiPriority w:val="10"/>
    <w:qFormat/>
    <w:rsid w:val="001A3193"/>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1A3193"/>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1A3193"/>
    <w:rPr>
      <w:i/>
      <w:iCs/>
      <w:color w:val="404040" w:themeColor="text1" w:themeTint="BF"/>
    </w:rPr>
  </w:style>
  <w:style w:type="character" w:styleId="Accentuationintense">
    <w:name w:val="Intense Emphasis"/>
    <w:basedOn w:val="Policepardfaut"/>
    <w:uiPriority w:val="21"/>
    <w:qFormat/>
    <w:rsid w:val="001A3193"/>
    <w:rPr>
      <w:i/>
      <w:iCs/>
      <w:color w:val="2F5496" w:themeColor="accent1" w:themeShade="BF"/>
    </w:rPr>
  </w:style>
  <w:style w:type="character" w:customStyle="1" w:styleId="CitationintenseCar">
    <w:name w:val="Citation intense Car"/>
    <w:basedOn w:val="Policepardfaut"/>
    <w:link w:val="Citationintense"/>
    <w:uiPriority w:val="30"/>
    <w:qFormat/>
    <w:rsid w:val="001A3193"/>
    <w:rPr>
      <w:i/>
      <w:iCs/>
      <w:color w:val="2F5496" w:themeColor="accent1" w:themeShade="BF"/>
    </w:rPr>
  </w:style>
  <w:style w:type="character" w:styleId="Rfrenceintense">
    <w:name w:val="Intense Reference"/>
    <w:basedOn w:val="Policepardfaut"/>
    <w:uiPriority w:val="32"/>
    <w:qFormat/>
    <w:rsid w:val="001A3193"/>
    <w:rPr>
      <w:b/>
      <w:bCs/>
      <w:smallCaps/>
      <w:color w:val="2F5496" w:themeColor="accent1" w:themeShade="BF"/>
      <w:spacing w:val="5"/>
    </w:rPr>
  </w:style>
  <w:style w:type="character" w:styleId="Lienhypertexte">
    <w:name w:val="Hyperlink"/>
    <w:basedOn w:val="Policepardfaut"/>
    <w:uiPriority w:val="99"/>
    <w:unhideWhenUsed/>
    <w:rsid w:val="00290225"/>
    <w:rPr>
      <w:color w:val="0563C1" w:themeColor="hyperlink"/>
      <w:u w:val="single"/>
    </w:rPr>
  </w:style>
  <w:style w:type="character" w:styleId="Mentionnonrsolue">
    <w:name w:val="Unresolved Mention"/>
    <w:basedOn w:val="Policepardfaut"/>
    <w:uiPriority w:val="99"/>
    <w:semiHidden/>
    <w:unhideWhenUsed/>
    <w:qFormat/>
    <w:rsid w:val="00290225"/>
    <w:rPr>
      <w:color w:val="605E5C"/>
      <w:shd w:val="clear" w:color="auto" w:fill="E1DFDD"/>
    </w:rPr>
  </w:style>
  <w:style w:type="character" w:customStyle="1" w:styleId="En-tteCar">
    <w:name w:val="En-tête Car"/>
    <w:basedOn w:val="Policepardfaut"/>
    <w:link w:val="En-tte"/>
    <w:uiPriority w:val="99"/>
    <w:qFormat/>
    <w:rsid w:val="009A1971"/>
  </w:style>
  <w:style w:type="character" w:customStyle="1" w:styleId="PieddepageCar">
    <w:name w:val="Pied de page Car"/>
    <w:basedOn w:val="Policepardfaut"/>
    <w:link w:val="Pieddepage"/>
    <w:uiPriority w:val="99"/>
    <w:qFormat/>
    <w:rsid w:val="009A1971"/>
  </w:style>
  <w:style w:type="paragraph" w:styleId="Titre">
    <w:name w:val="Title"/>
    <w:basedOn w:val="Normal"/>
    <w:next w:val="Corpsdetexte"/>
    <w:link w:val="TitreCar"/>
    <w:uiPriority w:val="10"/>
    <w:qFormat/>
    <w:rsid w:val="001A3193"/>
    <w:pPr>
      <w:spacing w:after="80" w:line="240" w:lineRule="auto"/>
      <w:contextualSpacing/>
    </w:pPr>
    <w:rPr>
      <w:rFonts w:asciiTheme="majorHAnsi" w:eastAsiaTheme="majorEastAsia" w:hAnsiTheme="majorHAnsi" w:cstheme="majorBidi"/>
      <w:spacing w:val="-10"/>
      <w:kern w:val="2"/>
      <w:sz w:val="56"/>
      <w:szCs w:val="56"/>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Cs w:val="24"/>
    </w:rPr>
  </w:style>
  <w:style w:type="paragraph" w:customStyle="1" w:styleId="Index">
    <w:name w:val="Index"/>
    <w:basedOn w:val="Normal"/>
    <w:qFormat/>
    <w:pPr>
      <w:suppressLineNumbers/>
    </w:pPr>
    <w:rPr>
      <w:rFonts w:cs="Noto Sans"/>
    </w:rPr>
  </w:style>
  <w:style w:type="paragraph" w:styleId="Sous-titre">
    <w:name w:val="Subtitle"/>
    <w:basedOn w:val="Normal"/>
    <w:next w:val="Normal"/>
    <w:link w:val="Sous-titreCar"/>
    <w:uiPriority w:val="11"/>
    <w:qFormat/>
    <w:rsid w:val="001A319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3193"/>
    <w:pPr>
      <w:spacing w:before="160"/>
      <w:jc w:val="center"/>
    </w:pPr>
    <w:rPr>
      <w:i/>
      <w:iCs/>
      <w:color w:val="404040" w:themeColor="text1" w:themeTint="BF"/>
    </w:rPr>
  </w:style>
  <w:style w:type="paragraph" w:styleId="Paragraphedeliste">
    <w:name w:val="List Paragraph"/>
    <w:basedOn w:val="Normal"/>
    <w:uiPriority w:val="34"/>
    <w:qFormat/>
    <w:rsid w:val="001A3193"/>
    <w:pPr>
      <w:ind w:left="720"/>
      <w:contextualSpacing/>
    </w:pPr>
  </w:style>
  <w:style w:type="paragraph" w:styleId="Citationintense">
    <w:name w:val="Intense Quote"/>
    <w:basedOn w:val="Normal"/>
    <w:next w:val="Normal"/>
    <w:link w:val="CitationintenseCar"/>
    <w:uiPriority w:val="30"/>
    <w:qFormat/>
    <w:rsid w:val="001A31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9A1971"/>
    <w:pPr>
      <w:tabs>
        <w:tab w:val="center" w:pos="4536"/>
        <w:tab w:val="right" w:pos="9072"/>
      </w:tabs>
      <w:spacing w:line="240" w:lineRule="auto"/>
    </w:pPr>
  </w:style>
  <w:style w:type="paragraph" w:styleId="Pieddepage">
    <w:name w:val="footer"/>
    <w:basedOn w:val="Normal"/>
    <w:link w:val="PieddepageCar"/>
    <w:uiPriority w:val="99"/>
    <w:unhideWhenUsed/>
    <w:rsid w:val="009A1971"/>
    <w:pPr>
      <w:tabs>
        <w:tab w:val="center" w:pos="4536"/>
        <w:tab w:val="right" w:pos="9072"/>
      </w:tabs>
      <w:spacing w:line="240" w:lineRule="auto"/>
    </w:pPr>
  </w:style>
  <w:style w:type="numbering" w:customStyle="1" w:styleId="Pasdeliste">
    <w:name w:val="Pas de liste"/>
    <w:uiPriority w:val="99"/>
    <w:semiHidden/>
    <w:unhideWhenUsed/>
    <w:qFormat/>
  </w:style>
  <w:style w:type="table" w:customStyle="1" w:styleId="TableGrid">
    <w:name w:val="TableGrid"/>
    <w:rsid w:val="001A3193"/>
    <w:rPr>
      <w:rFonts w:eastAsiaTheme="minorEastAsia"/>
      <w:sz w:val="24"/>
      <w:szCs w:val="24"/>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labolyce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476</Words>
  <Characters>2620</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DAÏNI</dc:creator>
  <dc:description/>
  <cp:lastModifiedBy>jocelyn CLEMENT</cp:lastModifiedBy>
  <cp:revision>4</cp:revision>
  <dcterms:created xsi:type="dcterms:W3CDTF">2025-09-12T14:51:00Z</dcterms:created>
  <dcterms:modified xsi:type="dcterms:W3CDTF">2026-06-24T15:44:00Z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