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7411" w14:textId="2032DFC5" w:rsidR="00234DF5" w:rsidRPr="0084057A" w:rsidRDefault="0084057A" w:rsidP="006E5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Bac 2026 Centres étrangers 1 Jour 1 </w:t>
      </w:r>
      <w:r w:rsidR="006E5953">
        <w:rPr>
          <w:rFonts w:cs="Arial"/>
          <w:b/>
          <w:bCs/>
          <w:szCs w:val="24"/>
        </w:rPr>
        <w:tab/>
      </w:r>
      <w:r w:rsidR="006E5953">
        <w:rPr>
          <w:rFonts w:cs="Arial"/>
          <w:b/>
          <w:bCs/>
          <w:szCs w:val="24"/>
        </w:rPr>
        <w:tab/>
      </w:r>
      <w:r w:rsidR="006E5953">
        <w:rPr>
          <w:rFonts w:cs="Arial"/>
          <w:b/>
          <w:bCs/>
          <w:szCs w:val="24"/>
        </w:rPr>
        <w:tab/>
        <w:t xml:space="preserve">Correction </w:t>
      </w:r>
      <w:hyperlink r:id="rId5" w:history="1">
        <w:r w:rsidR="006E5953" w:rsidRPr="00A3481D">
          <w:rPr>
            <w:rStyle w:val="Lienhypertexte"/>
            <w:rFonts w:cs="Arial"/>
            <w:b/>
            <w:bCs/>
            <w:szCs w:val="24"/>
          </w:rPr>
          <w:t>https://www.labolycee.org</w:t>
        </w:r>
      </w:hyperlink>
      <w:r w:rsidR="006E5953">
        <w:rPr>
          <w:rFonts w:cs="Arial"/>
          <w:b/>
          <w:bCs/>
          <w:szCs w:val="24"/>
        </w:rPr>
        <w:t xml:space="preserve"> </w:t>
      </w:r>
    </w:p>
    <w:p w14:paraId="2DB0556D" w14:textId="63DF7BA7" w:rsidR="00F12E80" w:rsidRDefault="00F12E80" w:rsidP="00AB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4"/>
        </w:rPr>
      </w:pPr>
      <w:r w:rsidRPr="0084057A">
        <w:rPr>
          <w:rFonts w:cs="Arial"/>
          <w:b/>
          <w:bCs/>
          <w:szCs w:val="24"/>
        </w:rPr>
        <w:t xml:space="preserve">Exercice 3 — Analyse d’un comprimé </w:t>
      </w:r>
      <w:r w:rsidR="006E5953">
        <w:rPr>
          <w:rFonts w:cs="Arial"/>
          <w:b/>
          <w:bCs/>
          <w:szCs w:val="24"/>
        </w:rPr>
        <w:t>(4 points)</w:t>
      </w:r>
    </w:p>
    <w:p w14:paraId="47E177F0" w14:textId="12316EE1" w:rsidR="006E5953" w:rsidRPr="0084057A" w:rsidRDefault="006B1235" w:rsidP="00F12E8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1. Identification du principe actif</w:t>
      </w:r>
    </w:p>
    <w:p w14:paraId="60CA0485" w14:textId="77777777" w:rsidR="00F12E80" w:rsidRPr="0084057A" w:rsidRDefault="00F12E80" w:rsidP="000D38CB">
      <w:pP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84057A">
        <w:rPr>
          <w:rFonts w:cs="Arial"/>
          <w:b/>
          <w:bCs/>
          <w:szCs w:val="24"/>
        </w:rPr>
        <w:t>Q.1. Recopier la formule topologique, entourer les groupes caractéristiques et nommer la famille fonctionnelle associée à chaque groupe.</w:t>
      </w:r>
    </w:p>
    <w:p w14:paraId="411C5EEC" w14:textId="5289ED01" w:rsidR="00F12E80" w:rsidRPr="006B1235" w:rsidRDefault="006B1235" w:rsidP="00F12E80">
      <w:pPr>
        <w:rPr>
          <w:rFonts w:cs="Arial"/>
          <w:i/>
          <w:iCs/>
          <w:szCs w:val="24"/>
        </w:rPr>
      </w:pPr>
      <w:r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5F576" wp14:editId="0480FD8F">
                <wp:simplePos x="0" y="0"/>
                <wp:positionH relativeFrom="column">
                  <wp:posOffset>5095875</wp:posOffset>
                </wp:positionH>
                <wp:positionV relativeFrom="paragraph">
                  <wp:posOffset>54610</wp:posOffset>
                </wp:positionV>
                <wp:extent cx="381000" cy="752475"/>
                <wp:effectExtent l="0" t="0" r="19050" b="28575"/>
                <wp:wrapNone/>
                <wp:docPr id="43092287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752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8A06E" id="Rectangle : coins arrondis 2" o:spid="_x0000_s1026" style="position:absolute;margin-left:401.25pt;margin-top:4.3pt;width:30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MFhwIAAIoFAAAOAAAAZHJzL2Uyb0RvYy54bWysVE1v2zAMvQ/YfxB0X21nSdMFdYqgRYcB&#10;3Vq0HXpWZakWIImapMTJfv0o2XGCrtth2EWW+PFIPpM8v9gaTTbCBwW2ptVJSYmwHBplX2r6/fH6&#10;wxklITLbMA1W1HQnAr1Yvn933rmFmEALuhGeIIgNi87VtI3RLYoi8FYYFk7ACYtKCd6wiE//UjSe&#10;dYhudDEpy9OiA984D1yEgNKrXkmXGV9KweOtlEFEomuKucV8+nw+p7NYnrPFi2euVXxIg/1DFoYp&#10;i0FHqCsWGVl79RuUUdxDABlPOJgCpFRc5Bqwmqp8Vc1Dy5zItSA5wY00hf8Hy79tHtydRxo6FxYB&#10;r6mKrfQmfTE/ss1k7UayxDYSjsKPZ1VZIqUcVfPZZDqfJTKLg7PzIX4WYEi61NTD2jb3+EMyT2xz&#10;E2Jvv7dLAS1cK63zT9E2CQJo1SRZfqSuEJfakw3D/8k4FzaeZjy9Nl+h6eXzWUqsB8+NlFxyakdo&#10;mGiKUBzKzre40yKF0vZeSKIaLHSSA4xAx7GrXtWyRvTi6o+hM2BClljMiD0AvFVXNVQw2CdXkRt6&#10;dC7/llhf/uiRI4ONo7NRFvxbADqOkXv7PUk9NYmlZ2h2d5546McpOH6t8B/fsBDvmMf5wbbAnRBv&#10;8ZAauprCcKOkBf/zLXmyx7ZGLSUdzmNNw48184IS/cViw3+qptM0wPkxnc0n+PDHmudjjV2bS8AW&#10;qXD7OJ6vyT7q/VV6ME+4OlYpKqqY5Ri7pjz6/eMy9nsClw8Xq1U2w6F1LN7YB8cTeGI1te/j9ol5&#10;NzR6xAn5BvvZZYtXrd7bJk8Lq3UEqfIcHHgd+MaBzz07LKe0UY7f2eqwQpe/AAAA//8DAFBLAwQU&#10;AAYACAAAACEA4Xodsd0AAAAJAQAADwAAAGRycy9kb3ducmV2LnhtbEyPQU+EMBCF7yb+h2ZMvBi3&#10;QCJLkLIxazx48CBovBY6ArGdEtrdZf+9sye9zcv78ua9arc6K464hMmTgnSTgEDqvZloUPDRvtwX&#10;IELUZLT1hArOGGBXX19VujT+RO94bOIgOIRCqRWMMc6llKEf0emw8TMSe99+cTqyXAZpFn3icGdl&#10;liS5dHoi/jDqGfcj9j/NwSn4bL/Oz3tJ9PoWto29o64t0k6p25v16RFExDX+wXCpz9Wh5k6dP5AJ&#10;wiookuyBUT5yEOwX+UV3DGbbFGRdyf8L6l8AAAD//wMAUEsBAi0AFAAGAAgAAAAhALaDOJL+AAAA&#10;4QEAABMAAAAAAAAAAAAAAAAAAAAAAFtDb250ZW50X1R5cGVzXS54bWxQSwECLQAUAAYACAAAACEA&#10;OP0h/9YAAACUAQAACwAAAAAAAAAAAAAAAAAvAQAAX3JlbHMvLnJlbHNQSwECLQAUAAYACAAAACEA&#10;9ExDBYcCAACKBQAADgAAAAAAAAAAAAAAAAAuAgAAZHJzL2Uyb0RvYy54bWxQSwECLQAUAAYACAAA&#10;ACEA4Xodsd0AAAAJAQAADwAAAAAAAAAAAAAAAADhBAAAZHJzL2Rvd25yZXYueG1sUEsFBgAAAAAE&#10;AAQA8wAAAOsFAAAAAA==&#10;" filled="f" strokecolor="#3a7c22 [2409]" strokeweight="1pt">
                <v:stroke joinstyle="miter"/>
              </v:roundrect>
            </w:pict>
          </mc:Fallback>
        </mc:AlternateContent>
      </w:r>
      <w:r w:rsidRPr="006B1235">
        <w:rPr>
          <w:rFonts w:cs="Arial"/>
          <w:b/>
          <w:bCs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0F73C8C" wp14:editId="6E0AF690">
            <wp:simplePos x="0" y="0"/>
            <wp:positionH relativeFrom="column">
              <wp:posOffset>4933950</wp:posOffset>
            </wp:positionH>
            <wp:positionV relativeFrom="paragraph">
              <wp:posOffset>54610</wp:posOffset>
            </wp:positionV>
            <wp:extent cx="1204595" cy="1228725"/>
            <wp:effectExtent l="0" t="0" r="0" b="9525"/>
            <wp:wrapSquare wrapText="bothSides"/>
            <wp:docPr id="7185909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9096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i/>
          <w:iCs/>
          <w:szCs w:val="24"/>
          <w:highlight w:val="cyan"/>
        </w:rPr>
        <w:t>N</w:t>
      </w:r>
      <w:r w:rsidR="000D38CB" w:rsidRPr="006B1235">
        <w:rPr>
          <w:rFonts w:cs="Arial"/>
          <w:i/>
          <w:iCs/>
          <w:szCs w:val="24"/>
          <w:highlight w:val="cyan"/>
        </w:rPr>
        <w:t>e pas confondre groupe caractéristique et famille fonctionnelle</w:t>
      </w:r>
      <w:r w:rsidR="00F12E80" w:rsidRPr="006B1235">
        <w:rPr>
          <w:rFonts w:cs="Arial"/>
          <w:i/>
          <w:iCs/>
          <w:szCs w:val="24"/>
          <w:highlight w:val="cyan"/>
        </w:rPr>
        <w:t xml:space="preserve"> </w:t>
      </w:r>
    </w:p>
    <w:p w14:paraId="78726031" w14:textId="5950F62F" w:rsidR="00F12E80" w:rsidRPr="0084057A" w:rsidRDefault="006B1235" w:rsidP="000D38CB">
      <w:pPr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15E61" wp14:editId="1C7D8822">
                <wp:simplePos x="0" y="0"/>
                <wp:positionH relativeFrom="column">
                  <wp:posOffset>5686425</wp:posOffset>
                </wp:positionH>
                <wp:positionV relativeFrom="paragraph">
                  <wp:posOffset>151130</wp:posOffset>
                </wp:positionV>
                <wp:extent cx="609600" cy="600075"/>
                <wp:effectExtent l="0" t="0" r="19050" b="28575"/>
                <wp:wrapNone/>
                <wp:docPr id="29137682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479DC2" id="Rectangle : coins arrondis 1" o:spid="_x0000_s1026" style="position:absolute;margin-left:447.75pt;margin-top:11.9pt;width:48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ZZfwIAAGMFAAAOAAAAZHJzL2Uyb0RvYy54bWysVEtv2zAMvg/YfxB0X+0EfaxBnSLoYxhQ&#10;tEHboWdFlmIDsqhRSpzs14+SHwm6YodhF5sUyY9vXl3vGsO2Cn0NtuCTk5wzZSWUtV0X/Mfr/Zev&#10;nPkgbCkMWFXwvfL8ev7501XrZmoKFZhSISMQ62etK3gVgptlmZeVaoQ/AacsCTVgIwKxuM5KFC2h&#10;Nyab5vl51gKWDkEq7+n1thPyecLXWsnwpLVXgZmCU2whfTF9V/Gbza/EbI3CVbXswxD/EEUjaktO&#10;R6hbEQTbYP0HVFNLBA86nEhoMtC6lirlQNlM8nfZvFTCqZQLFce7sUz+/8HKx+2LWyKVoXV+5omM&#10;Wew0NvFP8bFdKtZ+LJbaBSbp8Ty/PM+ppJJEROQXZ7GY2cHYoQ/fFDQsEgVH2NjymRqS6iS2Dz50&#10;+oNedGjhvjYmNcXY+ODB1GV8SwyuVzcG2VZQN+/uyGlqIPk8UiMummaHfBIV9kZFDGOflWZ1SRlM&#10;UyRp1NQIK6RUNkw6USVK1XmbnB05i8MZLVK6CTAia4pyxO4BBs0OZMDu8u71o6lKkzoa538LrDMe&#10;LZJnsGE0bmoL+BGAoax6z53+UKSuNLFKKyj3S2QI3Z54J+9rat6D8GEpkBaD+k3LHp7oow20BYee&#10;4qwC/PXRe9SneSUpZy0tWsH9z41AxZn5bmmSLyenp3EzE3N6djElBo8lq2OJ3TQ3QN2f0FlxMpFR&#10;P5iB1AjNG92ERfRKImEl+S64DDgwN6E7AHRVpFoskhptoxPhwb44GcFjVeNcvu7eBLp+ggON/iMM&#10;Sylm72a4042WFhabALpOA36oa19v2uQ0OP3ViafimE9ah9s4/w0AAP//AwBQSwMEFAAGAAgAAAAh&#10;AEvqJiHiAAAACgEAAA8AAABkcnMvZG93bnJldi54bWxMj01PwzAMhu9I/IfISNxY2pVCW5pOiI/D&#10;hCbBNk3iljWmrWicqsm2wq/HnOBo+9Hr5y0Xk+3FEUffOVIQzyIQSLUzHTUKtpvnqwyED5qM7h2h&#10;gi/0sKjOz0pdGHeiNzyuQyM4hHyhFbQhDIWUvm7Raj9zAxLfPtxodeBxbKQZ9YnDbS/nUXQjre6I&#10;P7R6wIcW68/1wSqYL+k7W76kT6vr7W20e0xWr+E9V+ryYrq/AxFwCn8w/OqzOlTstHcHMl70CrI8&#10;TRnlsIQrMJDnMS/2TMZZArIq5f8K1Q8AAAD//wMAUEsBAi0AFAAGAAgAAAAhALaDOJL+AAAA4QEA&#10;ABMAAAAAAAAAAAAAAAAAAAAAAFtDb250ZW50X1R5cGVzXS54bWxQSwECLQAUAAYACAAAACEAOP0h&#10;/9YAAACUAQAACwAAAAAAAAAAAAAAAAAvAQAAX3JlbHMvLnJlbHNQSwECLQAUAAYACAAAACEArvdW&#10;WX8CAABjBQAADgAAAAAAAAAAAAAAAAAuAgAAZHJzL2Uyb0RvYy54bWxQSwECLQAUAAYACAAAACEA&#10;S+omIeIAAAAKAQAADwAAAAAAAAAAAAAAAADZBAAAZHJzL2Rvd25yZXYueG1sUEsFBgAAAAAEAAQA&#10;8wAAAOgFAAAAAA==&#10;" filled="f" strokecolor="#e00" strokeweight="1pt">
                <v:stroke joinstyle="miter"/>
              </v:roundrect>
            </w:pict>
          </mc:Fallback>
        </mc:AlternateContent>
      </w:r>
      <w:r w:rsidR="000D38CB" w:rsidRPr="0084057A">
        <w:rPr>
          <w:rFonts w:cs="Arial"/>
          <w:szCs w:val="24"/>
        </w:rPr>
        <w:t>Sur la formule de</w:t>
      </w:r>
      <w:r w:rsidR="00F12E80" w:rsidRPr="0084057A">
        <w:rPr>
          <w:rFonts w:cs="Arial"/>
          <w:szCs w:val="24"/>
        </w:rPr>
        <w:t xml:space="preserve"> l’aspirine, on </w:t>
      </w:r>
      <w:r w:rsidR="000D38CB" w:rsidRPr="0084057A">
        <w:rPr>
          <w:rFonts w:cs="Arial"/>
          <w:szCs w:val="24"/>
        </w:rPr>
        <w:t>entoure</w:t>
      </w:r>
      <w:r w:rsidR="00F12E80" w:rsidRPr="0084057A">
        <w:rPr>
          <w:rFonts w:cs="Arial"/>
          <w:szCs w:val="24"/>
        </w:rPr>
        <w:t xml:space="preserve"> :</w:t>
      </w:r>
    </w:p>
    <w:p w14:paraId="56E13D8C" w14:textId="1F5D7516" w:rsidR="00F12E80" w:rsidRPr="0084057A" w:rsidRDefault="006B1235" w:rsidP="006B1235">
      <w:pPr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F12E80" w:rsidRPr="0084057A">
        <w:rPr>
          <w:rFonts w:cs="Arial"/>
          <w:szCs w:val="24"/>
        </w:rPr>
        <w:t xml:space="preserve">un groupe </w:t>
      </w:r>
      <w:r w:rsidRPr="006B1235">
        <w:rPr>
          <w:rFonts w:cs="Arial"/>
          <w:color w:val="EE0000"/>
          <w:szCs w:val="24"/>
        </w:rPr>
        <w:t>COOH</w:t>
      </w:r>
      <w:r>
        <w:rPr>
          <w:rFonts w:cs="Arial"/>
          <w:szCs w:val="24"/>
        </w:rPr>
        <w:t xml:space="preserve"> </w:t>
      </w:r>
      <w:r w:rsidR="000D38CB" w:rsidRPr="0084057A">
        <w:rPr>
          <w:rFonts w:cs="Arial"/>
          <w:szCs w:val="24"/>
        </w:rPr>
        <w:t xml:space="preserve">(groupe carboxyle) </w:t>
      </w:r>
      <w:r w:rsidR="00F12E80" w:rsidRPr="0084057A">
        <w:rPr>
          <w:rFonts w:cs="Arial"/>
          <w:szCs w:val="24"/>
        </w:rPr>
        <w:t xml:space="preserve">correspondant à la famille des </w:t>
      </w:r>
      <w:r w:rsidR="00F12E80" w:rsidRPr="0084057A">
        <w:rPr>
          <w:rFonts w:cs="Arial"/>
          <w:b/>
          <w:bCs/>
          <w:szCs w:val="24"/>
        </w:rPr>
        <w:t>acides carboxyliques</w:t>
      </w:r>
      <w:r w:rsidR="00F12E80" w:rsidRPr="0084057A">
        <w:rPr>
          <w:rFonts w:cs="Arial"/>
          <w:szCs w:val="24"/>
        </w:rPr>
        <w:t xml:space="preserve"> ; </w:t>
      </w:r>
    </w:p>
    <w:p w14:paraId="1A03068B" w14:textId="0103F44F" w:rsidR="00F12E80" w:rsidRPr="0084057A" w:rsidRDefault="006B1235" w:rsidP="006B1235">
      <w:pPr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F12E80" w:rsidRPr="0084057A">
        <w:rPr>
          <w:rFonts w:cs="Arial"/>
          <w:szCs w:val="24"/>
        </w:rPr>
        <w:t xml:space="preserve">un groupe </w:t>
      </w:r>
      <w:r w:rsidRPr="006B1235">
        <w:rPr>
          <w:rFonts w:cs="Arial"/>
          <w:color w:val="00B050"/>
          <w:szCs w:val="24"/>
        </w:rPr>
        <w:t>COOC</w:t>
      </w:r>
      <w:r>
        <w:rPr>
          <w:rFonts w:cs="Arial"/>
          <w:szCs w:val="24"/>
        </w:rPr>
        <w:t xml:space="preserve"> </w:t>
      </w:r>
      <w:r w:rsidR="000D38CB" w:rsidRPr="0084057A">
        <w:rPr>
          <w:rFonts w:cs="Arial"/>
          <w:szCs w:val="24"/>
        </w:rPr>
        <w:t>(groupe ester)</w:t>
      </w:r>
      <w:r w:rsidR="00F12E80" w:rsidRPr="0084057A">
        <w:rPr>
          <w:rFonts w:cs="Arial"/>
          <w:szCs w:val="24"/>
        </w:rPr>
        <w:t xml:space="preserve"> correspondant à la famille des </w:t>
      </w:r>
      <w:r w:rsidR="00F12E80" w:rsidRPr="0084057A">
        <w:rPr>
          <w:rFonts w:cs="Arial"/>
          <w:b/>
          <w:bCs/>
          <w:szCs w:val="24"/>
        </w:rPr>
        <w:t>esters</w:t>
      </w:r>
      <w:r w:rsidR="00F12E80" w:rsidRPr="0084057A">
        <w:rPr>
          <w:rFonts w:cs="Arial"/>
          <w:szCs w:val="24"/>
        </w:rPr>
        <w:t xml:space="preserve">. </w:t>
      </w:r>
    </w:p>
    <w:p w14:paraId="011EBE71" w14:textId="4511339B" w:rsidR="00F12E80" w:rsidRPr="0084057A" w:rsidRDefault="00F12E80" w:rsidP="00F12E80">
      <w:pPr>
        <w:rPr>
          <w:rFonts w:cs="Arial"/>
          <w:szCs w:val="24"/>
        </w:rPr>
      </w:pPr>
    </w:p>
    <w:p w14:paraId="137CB485" w14:textId="77777777" w:rsidR="00F12E80" w:rsidRPr="0084057A" w:rsidRDefault="00F12E80" w:rsidP="000D38CB">
      <w:pP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84057A">
        <w:rPr>
          <w:rFonts w:cs="Arial"/>
          <w:b/>
          <w:bCs/>
          <w:szCs w:val="24"/>
        </w:rPr>
        <w:t>Q.2. Justifier que le spectre de l’échantillon analysé peut correspondre à celui de l’aspirine.</w:t>
      </w:r>
    </w:p>
    <w:p w14:paraId="32260006" w14:textId="6B2539AB" w:rsidR="00F12E80" w:rsidRPr="006B1235" w:rsidRDefault="006B1235" w:rsidP="00155899">
      <w:pPr>
        <w:jc w:val="both"/>
        <w:rPr>
          <w:rFonts w:cs="Arial"/>
          <w:i/>
          <w:iCs/>
          <w:szCs w:val="24"/>
        </w:rPr>
      </w:pPr>
      <w:r w:rsidRPr="006B1235">
        <w:rPr>
          <w:rFonts w:cs="Arial"/>
          <w:i/>
          <w:iCs/>
          <w:szCs w:val="24"/>
          <w:highlight w:val="cyan"/>
        </w:rPr>
        <w:t>R</w:t>
      </w:r>
      <w:r w:rsidR="00F12E80" w:rsidRPr="006B1235">
        <w:rPr>
          <w:rFonts w:cs="Arial"/>
          <w:i/>
          <w:iCs/>
          <w:szCs w:val="24"/>
          <w:highlight w:val="cyan"/>
        </w:rPr>
        <w:t xml:space="preserve">elier les bandes IR </w:t>
      </w:r>
      <w:r w:rsidR="000D38CB" w:rsidRPr="006B1235">
        <w:rPr>
          <w:rFonts w:cs="Arial"/>
          <w:i/>
          <w:iCs/>
          <w:szCs w:val="24"/>
          <w:highlight w:val="cyan"/>
        </w:rPr>
        <w:t xml:space="preserve">données dans le tableau </w:t>
      </w:r>
      <w:r w:rsidR="00F12E80" w:rsidRPr="006B1235">
        <w:rPr>
          <w:rFonts w:cs="Arial"/>
          <w:i/>
          <w:iCs/>
          <w:szCs w:val="24"/>
          <w:highlight w:val="cyan"/>
        </w:rPr>
        <w:t>aux groupes caractéristiques de la molécule.</w:t>
      </w:r>
    </w:p>
    <w:p w14:paraId="76DBC3E0" w14:textId="77777777" w:rsidR="00F12E80" w:rsidRPr="0084057A" w:rsidRDefault="00F12E80" w:rsidP="000D38CB">
      <w:pPr>
        <w:rPr>
          <w:rFonts w:cs="Arial"/>
          <w:szCs w:val="24"/>
        </w:rPr>
      </w:pPr>
      <w:r w:rsidRPr="0084057A">
        <w:rPr>
          <w:rFonts w:cs="Arial"/>
          <w:szCs w:val="24"/>
        </w:rPr>
        <w:t>Le spectre présente :</w:t>
      </w:r>
    </w:p>
    <w:p w14:paraId="67F65AD3" w14:textId="1099B6FA" w:rsidR="00F12E80" w:rsidRPr="0084057A" w:rsidRDefault="00F12E80" w:rsidP="000D38CB">
      <w:pPr>
        <w:numPr>
          <w:ilvl w:val="0"/>
          <w:numId w:val="3"/>
        </w:numPr>
        <w:rPr>
          <w:rFonts w:cs="Arial"/>
          <w:szCs w:val="24"/>
        </w:rPr>
      </w:pPr>
      <w:r w:rsidRPr="0084057A">
        <w:rPr>
          <w:rFonts w:cs="Arial"/>
          <w:szCs w:val="24"/>
        </w:rPr>
        <w:t xml:space="preserve">une </w:t>
      </w:r>
      <w:r w:rsidR="00B8186E">
        <w:rPr>
          <w:rFonts w:cs="Arial"/>
          <w:szCs w:val="24"/>
        </w:rPr>
        <w:t xml:space="preserve">bande moyenne et </w:t>
      </w:r>
      <w:r w:rsidRPr="0084057A">
        <w:rPr>
          <w:rFonts w:cs="Arial"/>
          <w:szCs w:val="24"/>
        </w:rPr>
        <w:t>large entre environ</w:t>
      </w:r>
      <w:r w:rsidR="006B1235">
        <w:rPr>
          <w:rFonts w:cs="Arial"/>
          <w:szCs w:val="24"/>
        </w:rPr>
        <w:t xml:space="preserve"> 2500 et 3200 cm</w:t>
      </w:r>
      <w:r w:rsidR="006B1235">
        <w:rPr>
          <w:rFonts w:cs="Arial"/>
          <w:szCs w:val="24"/>
          <w:vertAlign w:val="superscript"/>
        </w:rPr>
        <w:t>-1</w:t>
      </w:r>
      <w:r w:rsidRPr="0084057A">
        <w:rPr>
          <w:rFonts w:cs="Arial"/>
          <w:szCs w:val="24"/>
        </w:rPr>
        <w:t xml:space="preserve">, caractéristique de la liaison O–H d’un acide carboxylique ; </w:t>
      </w:r>
    </w:p>
    <w:p w14:paraId="71074F34" w14:textId="66409D92" w:rsidR="00F12E80" w:rsidRPr="0084057A" w:rsidRDefault="00F12E80" w:rsidP="000D38CB">
      <w:pPr>
        <w:numPr>
          <w:ilvl w:val="0"/>
          <w:numId w:val="3"/>
        </w:numPr>
        <w:rPr>
          <w:rFonts w:cs="Arial"/>
          <w:szCs w:val="24"/>
        </w:rPr>
      </w:pPr>
      <w:r w:rsidRPr="0084057A">
        <w:rPr>
          <w:rFonts w:cs="Arial"/>
          <w:szCs w:val="24"/>
        </w:rPr>
        <w:t>des bandes fortes et fines vers</w:t>
      </w:r>
      <w:r w:rsidR="00B8186E">
        <w:rPr>
          <w:rFonts w:cs="Arial"/>
          <w:szCs w:val="24"/>
        </w:rPr>
        <w:t xml:space="preserve"> 1700 cm</w:t>
      </w:r>
      <w:r w:rsidR="00B8186E" w:rsidRPr="00B8186E">
        <w:rPr>
          <w:rFonts w:cs="Arial"/>
          <w:szCs w:val="24"/>
          <w:vertAlign w:val="superscript"/>
        </w:rPr>
        <w:t>-1</w:t>
      </w:r>
      <w:r w:rsidRPr="0084057A">
        <w:rPr>
          <w:rFonts w:cs="Arial"/>
          <w:szCs w:val="24"/>
        </w:rPr>
        <w:t>, caractéristiques des liaisons</w:t>
      </w:r>
      <w:r w:rsidR="00A2655B">
        <w:rPr>
          <w:rFonts w:cs="Arial"/>
          <w:szCs w:val="24"/>
        </w:rPr>
        <w:t xml:space="preserve"> C = O</w:t>
      </w:r>
      <w:r w:rsidRPr="0084057A">
        <w:rPr>
          <w:rFonts w:cs="Arial"/>
          <w:szCs w:val="24"/>
        </w:rPr>
        <w:t xml:space="preserve">, notamment </w:t>
      </w:r>
      <w:r w:rsidR="001A59A4">
        <w:rPr>
          <w:rFonts w:cs="Arial"/>
          <w:szCs w:val="24"/>
        </w:rPr>
        <w:t xml:space="preserve">des </w:t>
      </w:r>
      <w:r w:rsidRPr="0084057A">
        <w:rPr>
          <w:rFonts w:cs="Arial"/>
          <w:szCs w:val="24"/>
        </w:rPr>
        <w:t>ester et acide carboxylique.</w:t>
      </w:r>
    </w:p>
    <w:p w14:paraId="40767613" w14:textId="77777777" w:rsidR="00F12E80" w:rsidRDefault="00F12E80" w:rsidP="000D38CB">
      <w:pPr>
        <w:rPr>
          <w:rFonts w:cs="Arial"/>
          <w:szCs w:val="24"/>
        </w:rPr>
      </w:pPr>
      <w:r w:rsidRPr="0084057A">
        <w:rPr>
          <w:rFonts w:cs="Arial"/>
          <w:szCs w:val="24"/>
        </w:rPr>
        <w:t>Ces bandes sont compatibles avec les groupes caractéristiques présents dans l’aspirine.</w:t>
      </w:r>
    </w:p>
    <w:p w14:paraId="40C6E0FC" w14:textId="7ECBD92D" w:rsidR="001A59A4" w:rsidRDefault="001A59A4" w:rsidP="000D38CB">
      <w:pPr>
        <w:rPr>
          <w:rFonts w:cs="Arial"/>
          <w:szCs w:val="24"/>
        </w:rPr>
      </w:pPr>
      <w:r>
        <w:rPr>
          <w:rFonts w:cs="Arial"/>
          <w:szCs w:val="24"/>
        </w:rPr>
        <w:t>Le spectre peut donc correspondre à celui de l’aspirine.</w:t>
      </w:r>
    </w:p>
    <w:p w14:paraId="096F5094" w14:textId="77777777" w:rsidR="001A59A4" w:rsidRPr="0084057A" w:rsidRDefault="001A59A4" w:rsidP="000D38CB">
      <w:pPr>
        <w:rPr>
          <w:rFonts w:cs="Arial"/>
          <w:szCs w:val="24"/>
        </w:rPr>
      </w:pPr>
    </w:p>
    <w:p w14:paraId="10C26EC9" w14:textId="77777777" w:rsidR="001A59A4" w:rsidRPr="001A59A4" w:rsidRDefault="001A59A4" w:rsidP="007153AE">
      <w:pP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1A59A4">
        <w:rPr>
          <w:rFonts w:cs="Arial"/>
          <w:b/>
          <w:bCs/>
          <w:szCs w:val="24"/>
        </w:rPr>
        <w:t>2. Titrage avec suivi pH-métrique du principe actif contenu dans le comprimé saisi</w:t>
      </w:r>
    </w:p>
    <w:p w14:paraId="5C9FB11B" w14:textId="6C2D3737" w:rsidR="001A59A4" w:rsidRPr="001A59A4" w:rsidRDefault="001A59A4" w:rsidP="007153AE">
      <w:pPr>
        <w:shd w:val="clear" w:color="auto" w:fill="D9D9D9" w:themeFill="background1" w:themeFillShade="D9"/>
        <w:jc w:val="both"/>
        <w:rPr>
          <w:rFonts w:cs="Arial"/>
          <w:szCs w:val="24"/>
        </w:rPr>
      </w:pPr>
      <w:r w:rsidRPr="001A59A4">
        <w:rPr>
          <w:rFonts w:cs="Arial"/>
          <w:szCs w:val="24"/>
        </w:rPr>
        <w:t xml:space="preserve">On prépare </w:t>
      </w:r>
      <w:r w:rsidRPr="001A59A4">
        <w:rPr>
          <w:rFonts w:cs="Arial"/>
          <w:i/>
          <w:iCs/>
          <w:szCs w:val="24"/>
        </w:rPr>
        <w:t>V</w:t>
      </w:r>
      <w:r w:rsidRPr="001A59A4">
        <w:rPr>
          <w:rFonts w:cs="Arial"/>
          <w:szCs w:val="24"/>
        </w:rPr>
        <w:t xml:space="preserve"> = 500,0 mL d'une solution S en dissolvant complètement le comprimé d'aspirine saisi</w:t>
      </w:r>
      <w:r>
        <w:rPr>
          <w:rFonts w:cs="Arial"/>
          <w:szCs w:val="24"/>
        </w:rPr>
        <w:t xml:space="preserve"> </w:t>
      </w:r>
      <w:r w:rsidRPr="001A59A4">
        <w:rPr>
          <w:rFonts w:cs="Arial"/>
          <w:szCs w:val="24"/>
        </w:rPr>
        <w:t>et son principe actif note AH dans de l'eau distillée.</w:t>
      </w:r>
    </w:p>
    <w:p w14:paraId="22A58DBF" w14:textId="0A8F0C84" w:rsidR="001A59A4" w:rsidRPr="001A59A4" w:rsidRDefault="001A59A4" w:rsidP="007153AE">
      <w:pPr>
        <w:shd w:val="clear" w:color="auto" w:fill="D9D9D9" w:themeFill="background1" w:themeFillShade="D9"/>
        <w:jc w:val="both"/>
        <w:rPr>
          <w:rFonts w:cs="Arial"/>
          <w:szCs w:val="24"/>
        </w:rPr>
      </w:pPr>
      <w:r w:rsidRPr="001A59A4">
        <w:rPr>
          <w:rFonts w:cs="Arial"/>
          <w:szCs w:val="24"/>
        </w:rPr>
        <w:t xml:space="preserve">On prélève un échantillon de volume </w:t>
      </w:r>
      <w:r w:rsidRPr="001A59A4">
        <w:rPr>
          <w:rFonts w:cs="Arial"/>
          <w:i/>
          <w:iCs/>
          <w:szCs w:val="24"/>
        </w:rPr>
        <w:t>V</w:t>
      </w:r>
      <w:r w:rsidRPr="001A59A4">
        <w:rPr>
          <w:rFonts w:cs="Arial"/>
          <w:szCs w:val="24"/>
          <w:vertAlign w:val="subscript"/>
        </w:rPr>
        <w:t>a</w:t>
      </w:r>
      <w:r w:rsidRPr="001A59A4">
        <w:rPr>
          <w:rFonts w:cs="Arial"/>
          <w:szCs w:val="24"/>
        </w:rPr>
        <w:t xml:space="preserve"> = 20,0 mL de cette solution S pour le titrer par une solution</w:t>
      </w:r>
      <w:r>
        <w:rPr>
          <w:rFonts w:cs="Arial"/>
          <w:szCs w:val="24"/>
        </w:rPr>
        <w:t xml:space="preserve"> </w:t>
      </w:r>
      <w:r w:rsidRPr="001A59A4">
        <w:rPr>
          <w:rFonts w:cs="Arial"/>
          <w:szCs w:val="24"/>
        </w:rPr>
        <w:t xml:space="preserve">aqueuse d'hydroxyde de sodium de concentration apportée : </w:t>
      </w:r>
      <w:r w:rsidRPr="001A59A4">
        <w:rPr>
          <w:rFonts w:cs="Arial"/>
          <w:i/>
          <w:iCs/>
          <w:szCs w:val="24"/>
        </w:rPr>
        <w:t>C</w:t>
      </w:r>
      <w:r w:rsidRPr="001A59A4">
        <w:rPr>
          <w:rFonts w:cs="Arial"/>
          <w:i/>
          <w:iCs/>
          <w:szCs w:val="24"/>
          <w:vertAlign w:val="subscript"/>
        </w:rPr>
        <w:t>b</w:t>
      </w:r>
      <w:r w:rsidRPr="001A59A4">
        <w:rPr>
          <w:rFonts w:cs="Arial"/>
          <w:szCs w:val="24"/>
        </w:rPr>
        <w:t xml:space="preserve"> = 1,00</w:t>
      </w:r>
      <w:r>
        <w:rPr>
          <w:rFonts w:cs="Arial"/>
          <w:szCs w:val="24"/>
        </w:rPr>
        <w:t>×</w:t>
      </w:r>
      <w:r w:rsidRPr="001A59A4">
        <w:rPr>
          <w:rFonts w:cs="Arial"/>
          <w:szCs w:val="24"/>
        </w:rPr>
        <w:t>10</w:t>
      </w:r>
      <w:r w:rsidRPr="001A59A4">
        <w:rPr>
          <w:rFonts w:cs="Arial"/>
          <w:szCs w:val="24"/>
          <w:vertAlign w:val="superscript"/>
        </w:rPr>
        <w:t>-2</w:t>
      </w:r>
      <w:r w:rsidRPr="001A59A4">
        <w:rPr>
          <w:rFonts w:cs="Arial"/>
          <w:szCs w:val="24"/>
        </w:rPr>
        <w:t xml:space="preserve"> mol.L</w:t>
      </w:r>
      <w:r w:rsidRPr="001A59A4">
        <w:rPr>
          <w:rFonts w:cs="Arial"/>
          <w:szCs w:val="24"/>
          <w:vertAlign w:val="superscript"/>
        </w:rPr>
        <w:t>-1</w:t>
      </w:r>
      <w:r w:rsidRPr="001A59A4">
        <w:rPr>
          <w:rFonts w:cs="Arial"/>
          <w:szCs w:val="24"/>
        </w:rPr>
        <w:t>.</w:t>
      </w:r>
    </w:p>
    <w:p w14:paraId="75DBD201" w14:textId="4D43F0EF" w:rsidR="001A59A4" w:rsidRPr="001A59A4" w:rsidRDefault="001A59A4" w:rsidP="007153AE">
      <w:pPr>
        <w:shd w:val="clear" w:color="auto" w:fill="D9D9D9" w:themeFill="background1" w:themeFillShade="D9"/>
        <w:jc w:val="both"/>
        <w:rPr>
          <w:rFonts w:cs="Arial"/>
          <w:szCs w:val="24"/>
        </w:rPr>
      </w:pPr>
      <w:r w:rsidRPr="001A59A4">
        <w:rPr>
          <w:rFonts w:cs="Arial"/>
          <w:szCs w:val="24"/>
        </w:rPr>
        <w:t>On dispose de fioles jaugées (50,0 mL ; 100,0 mL ; 200,0 mL) et de pipettes jaugées (1,0 mL ;</w:t>
      </w:r>
      <w:r>
        <w:rPr>
          <w:rFonts w:cs="Arial"/>
          <w:szCs w:val="24"/>
        </w:rPr>
        <w:t xml:space="preserve"> </w:t>
      </w:r>
      <w:r w:rsidRPr="001A59A4">
        <w:rPr>
          <w:rFonts w:cs="Arial"/>
          <w:szCs w:val="24"/>
        </w:rPr>
        <w:t>2,0</w:t>
      </w:r>
      <w:r>
        <w:rPr>
          <w:rFonts w:cs="Arial"/>
          <w:szCs w:val="24"/>
        </w:rPr>
        <w:t> </w:t>
      </w:r>
      <w:r w:rsidRPr="001A59A4">
        <w:rPr>
          <w:rFonts w:cs="Arial"/>
          <w:szCs w:val="24"/>
        </w:rPr>
        <w:t>mL ; 10,0 mL ; 25,0 mL).</w:t>
      </w:r>
    </w:p>
    <w:p w14:paraId="77BC5255" w14:textId="4AF67F34" w:rsidR="000D38CB" w:rsidRPr="001A59A4" w:rsidRDefault="001A59A4" w:rsidP="007153AE">
      <w:pPr>
        <w:shd w:val="clear" w:color="auto" w:fill="D9D9D9" w:themeFill="background1" w:themeFillShade="D9"/>
        <w:jc w:val="both"/>
        <w:rPr>
          <w:rFonts w:cs="Arial"/>
          <w:szCs w:val="24"/>
        </w:rPr>
      </w:pPr>
      <w:r w:rsidRPr="001A59A4">
        <w:rPr>
          <w:rFonts w:cs="Arial"/>
          <w:szCs w:val="24"/>
        </w:rPr>
        <w:t>La solution titrante d'hydroxyde de sodium de concentration en quantit</w:t>
      </w:r>
      <w:r>
        <w:rPr>
          <w:rFonts w:cs="Arial"/>
          <w:szCs w:val="24"/>
        </w:rPr>
        <w:t>é</w:t>
      </w:r>
      <w:r w:rsidRPr="001A59A4">
        <w:rPr>
          <w:rFonts w:cs="Arial"/>
          <w:szCs w:val="24"/>
        </w:rPr>
        <w:t xml:space="preserve"> de mati</w:t>
      </w:r>
      <w:r>
        <w:rPr>
          <w:rFonts w:cs="Arial"/>
          <w:szCs w:val="24"/>
        </w:rPr>
        <w:t>è</w:t>
      </w:r>
      <w:r w:rsidRPr="001A59A4">
        <w:rPr>
          <w:rFonts w:cs="Arial"/>
          <w:szCs w:val="24"/>
        </w:rPr>
        <w:t>re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1A59A4">
        <w:rPr>
          <w:rFonts w:cs="Arial"/>
          <w:i/>
          <w:iCs/>
          <w:szCs w:val="24"/>
        </w:rPr>
        <w:t>C</w:t>
      </w:r>
      <w:r w:rsidRPr="001A59A4">
        <w:rPr>
          <w:rFonts w:cs="Arial"/>
          <w:i/>
          <w:iCs/>
          <w:szCs w:val="24"/>
          <w:vertAlign w:val="subscript"/>
        </w:rPr>
        <w:t>b</w:t>
      </w:r>
      <w:r w:rsidRPr="001A59A4">
        <w:rPr>
          <w:rFonts w:cs="Arial"/>
          <w:szCs w:val="24"/>
        </w:rPr>
        <w:t xml:space="preserve"> = 1,00</w:t>
      </w:r>
      <w:r>
        <w:rPr>
          <w:rFonts w:cs="Arial"/>
          <w:szCs w:val="24"/>
        </w:rPr>
        <w:t>×</w:t>
      </w:r>
      <w:r w:rsidRPr="001A59A4">
        <w:rPr>
          <w:rFonts w:cs="Arial"/>
          <w:szCs w:val="24"/>
        </w:rPr>
        <w:t>10</w:t>
      </w:r>
      <w:r>
        <w:rPr>
          <w:rFonts w:cs="Arial"/>
          <w:szCs w:val="24"/>
          <w:vertAlign w:val="superscript"/>
        </w:rPr>
        <w:t>–</w:t>
      </w:r>
      <w:r w:rsidRPr="001A59A4">
        <w:rPr>
          <w:rFonts w:cs="Arial"/>
          <w:szCs w:val="24"/>
          <w:vertAlign w:val="superscript"/>
        </w:rPr>
        <w:t>2</w:t>
      </w:r>
      <w:r>
        <w:rPr>
          <w:rFonts w:cs="Arial"/>
          <w:szCs w:val="24"/>
        </w:rPr>
        <w:t xml:space="preserve"> m</w:t>
      </w:r>
      <w:r w:rsidRPr="001A59A4">
        <w:rPr>
          <w:rFonts w:cs="Arial"/>
          <w:szCs w:val="24"/>
        </w:rPr>
        <w:t>ol.L</w:t>
      </w:r>
      <w:r w:rsidRPr="001A59A4">
        <w:rPr>
          <w:rFonts w:cs="Arial"/>
          <w:szCs w:val="24"/>
          <w:vertAlign w:val="superscript"/>
        </w:rPr>
        <w:t>-1</w:t>
      </w:r>
      <w:r w:rsidRPr="001A59A4">
        <w:rPr>
          <w:rFonts w:cs="Arial"/>
          <w:szCs w:val="24"/>
        </w:rPr>
        <w:t xml:space="preserve"> a été préparée à partir d'une solution de concentration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1A59A4">
        <w:rPr>
          <w:rFonts w:cs="Arial"/>
          <w:i/>
          <w:iCs/>
          <w:szCs w:val="24"/>
        </w:rPr>
        <w:t>C</w:t>
      </w:r>
      <w:r w:rsidRPr="001A59A4">
        <w:rPr>
          <w:rFonts w:cs="Arial"/>
          <w:i/>
          <w:iCs/>
          <w:szCs w:val="24"/>
          <w:vertAlign w:val="subscript"/>
        </w:rPr>
        <w:t>o</w:t>
      </w:r>
      <w:r w:rsidRPr="001A59A4">
        <w:rPr>
          <w:rFonts w:cs="Arial"/>
          <w:szCs w:val="24"/>
        </w:rPr>
        <w:t xml:space="preserve"> = 5,00</w:t>
      </w:r>
      <w:r>
        <w:rPr>
          <w:rFonts w:cs="Arial"/>
          <w:szCs w:val="24"/>
        </w:rPr>
        <w:t>×</w:t>
      </w:r>
      <w:r w:rsidRPr="001A59A4">
        <w:rPr>
          <w:rFonts w:cs="Arial"/>
          <w:szCs w:val="24"/>
        </w:rPr>
        <w:t>10</w:t>
      </w:r>
      <w:r>
        <w:rPr>
          <w:rFonts w:cs="Arial"/>
          <w:szCs w:val="24"/>
          <w:vertAlign w:val="superscript"/>
        </w:rPr>
        <w:t>–</w:t>
      </w:r>
      <w:r w:rsidRPr="001A59A4">
        <w:rPr>
          <w:rFonts w:cs="Arial"/>
          <w:szCs w:val="24"/>
          <w:vertAlign w:val="superscript"/>
        </w:rPr>
        <w:t>2</w:t>
      </w:r>
      <w:r w:rsidRPr="001A59A4">
        <w:rPr>
          <w:rFonts w:cs="Arial"/>
          <w:szCs w:val="24"/>
        </w:rPr>
        <w:t xml:space="preserve"> mol.L</w:t>
      </w:r>
      <w:r w:rsidRPr="001A59A4">
        <w:rPr>
          <w:rFonts w:cs="Arial"/>
          <w:szCs w:val="24"/>
          <w:vertAlign w:val="superscript"/>
        </w:rPr>
        <w:t>-1</w:t>
      </w:r>
      <w:r w:rsidRPr="001A59A4">
        <w:rPr>
          <w:rFonts w:cs="Arial"/>
          <w:szCs w:val="24"/>
        </w:rPr>
        <w:t>.</w:t>
      </w:r>
    </w:p>
    <w:p w14:paraId="626F036A" w14:textId="52B96365" w:rsidR="00F12E80" w:rsidRPr="0084057A" w:rsidRDefault="001A59A4" w:rsidP="001A59A4">
      <w:pPr>
        <w:shd w:val="clear" w:color="auto" w:fill="D9D9D9" w:themeFill="background1" w:themeFillShade="D9"/>
        <w:jc w:val="both"/>
        <w:rPr>
          <w:rFonts w:cs="Arial"/>
          <w:b/>
          <w:bCs/>
          <w:szCs w:val="24"/>
        </w:rPr>
      </w:pPr>
      <w:r w:rsidRPr="001A59A4">
        <w:rPr>
          <w:rFonts w:cs="Arial"/>
          <w:b/>
          <w:bCs/>
          <w:szCs w:val="24"/>
        </w:rPr>
        <w:t>Q.3. Sélectionner, parmi la verrerie disponible, celle qui est utilisée pour effectuer la dilution de la</w:t>
      </w:r>
      <w:r>
        <w:rPr>
          <w:rFonts w:cs="Arial"/>
          <w:b/>
          <w:bCs/>
          <w:szCs w:val="24"/>
        </w:rPr>
        <w:t xml:space="preserve"> </w:t>
      </w:r>
      <w:r w:rsidRPr="001A59A4">
        <w:rPr>
          <w:rFonts w:cs="Arial"/>
          <w:b/>
          <w:bCs/>
          <w:szCs w:val="24"/>
        </w:rPr>
        <w:t xml:space="preserve">solution titrante d'hydroxyde de sodium de concentration </w:t>
      </w:r>
      <w:r w:rsidRPr="001A59A4">
        <w:rPr>
          <w:rFonts w:cs="Arial"/>
          <w:b/>
          <w:bCs/>
          <w:i/>
          <w:iCs/>
          <w:szCs w:val="24"/>
        </w:rPr>
        <w:t>C</w:t>
      </w:r>
      <w:r w:rsidRPr="001A59A4">
        <w:rPr>
          <w:rFonts w:cs="Arial"/>
          <w:b/>
          <w:bCs/>
          <w:i/>
          <w:iCs/>
          <w:szCs w:val="24"/>
          <w:vertAlign w:val="subscript"/>
        </w:rPr>
        <w:t>b</w:t>
      </w:r>
      <w:r w:rsidRPr="001A59A4">
        <w:rPr>
          <w:rFonts w:cs="Arial"/>
          <w:b/>
          <w:bCs/>
          <w:szCs w:val="24"/>
        </w:rPr>
        <w:t xml:space="preserve"> = 1,00</w:t>
      </w:r>
      <w:r>
        <w:rPr>
          <w:rFonts w:cs="Arial"/>
          <w:b/>
          <w:bCs/>
          <w:szCs w:val="24"/>
        </w:rPr>
        <w:t>×</w:t>
      </w:r>
      <w:r w:rsidRPr="001A59A4">
        <w:rPr>
          <w:rFonts w:cs="Arial"/>
          <w:b/>
          <w:bCs/>
          <w:szCs w:val="24"/>
        </w:rPr>
        <w:t>10</w:t>
      </w:r>
      <w:r w:rsidRPr="001A59A4">
        <w:rPr>
          <w:rFonts w:cs="Arial"/>
          <w:b/>
          <w:bCs/>
          <w:szCs w:val="24"/>
          <w:vertAlign w:val="superscript"/>
        </w:rPr>
        <w:t>–2</w:t>
      </w:r>
      <w:r w:rsidRPr="001A59A4">
        <w:rPr>
          <w:rFonts w:cs="Arial"/>
          <w:b/>
          <w:bCs/>
          <w:szCs w:val="24"/>
        </w:rPr>
        <w:t xml:space="preserve"> mol.L</w:t>
      </w:r>
      <w:r w:rsidRPr="001A59A4">
        <w:rPr>
          <w:rFonts w:cs="Arial"/>
          <w:b/>
          <w:bCs/>
          <w:szCs w:val="24"/>
          <w:vertAlign w:val="superscript"/>
        </w:rPr>
        <w:t>-1</w:t>
      </w:r>
      <w:r w:rsidRPr="001A59A4">
        <w:rPr>
          <w:rFonts w:cs="Arial"/>
          <w:b/>
          <w:bCs/>
          <w:szCs w:val="24"/>
        </w:rPr>
        <w:t>. Justifier la</w:t>
      </w:r>
      <w:r>
        <w:rPr>
          <w:rFonts w:cs="Arial"/>
          <w:b/>
          <w:bCs/>
          <w:szCs w:val="24"/>
        </w:rPr>
        <w:t xml:space="preserve"> </w:t>
      </w:r>
      <w:r w:rsidRPr="001A59A4">
        <w:rPr>
          <w:rFonts w:cs="Arial"/>
          <w:b/>
          <w:bCs/>
          <w:szCs w:val="24"/>
        </w:rPr>
        <w:t>réponse.</w:t>
      </w:r>
    </w:p>
    <w:p w14:paraId="72FC5887" w14:textId="4E42ACD2" w:rsidR="007153AE" w:rsidRDefault="007153AE" w:rsidP="00F12E80">
      <w:pPr>
        <w:rPr>
          <w:rFonts w:cs="Arial"/>
          <w:szCs w:val="24"/>
        </w:rPr>
      </w:pPr>
      <w:r w:rsidRPr="007153AE">
        <w:rPr>
          <w:rFonts w:cs="Arial"/>
          <w:szCs w:val="24"/>
        </w:rPr>
        <w:t>Solution mère 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Solution fille :</w:t>
      </w:r>
    </w:p>
    <w:p w14:paraId="0EEE8B2E" w14:textId="48759323" w:rsidR="007153AE" w:rsidRPr="007153AE" w:rsidRDefault="007153AE" w:rsidP="00F12E80">
      <w:pPr>
        <w:rPr>
          <w:rFonts w:cs="Arial"/>
          <w:szCs w:val="24"/>
        </w:rPr>
      </w:pPr>
      <w:r w:rsidRPr="001A59A4">
        <w:rPr>
          <w:rFonts w:cs="Arial"/>
          <w:i/>
          <w:iCs/>
          <w:szCs w:val="24"/>
        </w:rPr>
        <w:t>C</w:t>
      </w:r>
      <w:r w:rsidRPr="001A59A4">
        <w:rPr>
          <w:rFonts w:cs="Arial"/>
          <w:i/>
          <w:iCs/>
          <w:szCs w:val="24"/>
          <w:vertAlign w:val="subscript"/>
        </w:rPr>
        <w:t>o</w:t>
      </w:r>
      <w:r w:rsidRPr="001A59A4">
        <w:rPr>
          <w:rFonts w:cs="Arial"/>
          <w:szCs w:val="24"/>
        </w:rPr>
        <w:t xml:space="preserve"> = 5,00</w:t>
      </w:r>
      <w:r>
        <w:rPr>
          <w:rFonts w:cs="Arial"/>
          <w:szCs w:val="24"/>
        </w:rPr>
        <w:t>×</w:t>
      </w:r>
      <w:r w:rsidRPr="001A59A4">
        <w:rPr>
          <w:rFonts w:cs="Arial"/>
          <w:szCs w:val="24"/>
        </w:rPr>
        <w:t>10</w:t>
      </w:r>
      <w:r>
        <w:rPr>
          <w:rFonts w:cs="Arial"/>
          <w:szCs w:val="24"/>
          <w:vertAlign w:val="superscript"/>
        </w:rPr>
        <w:t>–</w:t>
      </w:r>
      <w:r w:rsidRPr="001A59A4">
        <w:rPr>
          <w:rFonts w:cs="Arial"/>
          <w:szCs w:val="24"/>
          <w:vertAlign w:val="superscript"/>
        </w:rPr>
        <w:t>2</w:t>
      </w:r>
      <w:r w:rsidRPr="001A59A4">
        <w:rPr>
          <w:rFonts w:cs="Arial"/>
          <w:szCs w:val="24"/>
        </w:rPr>
        <w:t xml:space="preserve"> mol.L</w:t>
      </w:r>
      <w:r w:rsidRPr="001A59A4">
        <w:rPr>
          <w:rFonts w:cs="Arial"/>
          <w:szCs w:val="24"/>
          <w:vertAlign w:val="superscript"/>
        </w:rPr>
        <w:t>-1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4418C2" w:rsidRPr="001A59A4">
        <w:rPr>
          <w:rFonts w:cs="Arial"/>
          <w:i/>
          <w:iCs/>
          <w:szCs w:val="24"/>
        </w:rPr>
        <w:t>C</w:t>
      </w:r>
      <w:r w:rsidR="004418C2" w:rsidRPr="001A59A4">
        <w:rPr>
          <w:rFonts w:cs="Arial"/>
          <w:i/>
          <w:iCs/>
          <w:szCs w:val="24"/>
          <w:vertAlign w:val="subscript"/>
        </w:rPr>
        <w:t>b</w:t>
      </w:r>
      <w:r w:rsidR="004418C2" w:rsidRPr="001A59A4">
        <w:rPr>
          <w:rFonts w:cs="Arial"/>
          <w:szCs w:val="24"/>
        </w:rPr>
        <w:t xml:space="preserve"> = 1,00</w:t>
      </w:r>
      <w:r w:rsidR="004418C2">
        <w:rPr>
          <w:rFonts w:cs="Arial"/>
          <w:szCs w:val="24"/>
        </w:rPr>
        <w:t>×</w:t>
      </w:r>
      <w:r w:rsidR="004418C2" w:rsidRPr="001A59A4">
        <w:rPr>
          <w:rFonts w:cs="Arial"/>
          <w:szCs w:val="24"/>
        </w:rPr>
        <w:t>10</w:t>
      </w:r>
      <w:r w:rsidR="004418C2">
        <w:rPr>
          <w:rFonts w:cs="Arial"/>
          <w:szCs w:val="24"/>
          <w:vertAlign w:val="superscript"/>
        </w:rPr>
        <w:t>–</w:t>
      </w:r>
      <w:r w:rsidR="004418C2" w:rsidRPr="001A59A4">
        <w:rPr>
          <w:rFonts w:cs="Arial"/>
          <w:szCs w:val="24"/>
          <w:vertAlign w:val="superscript"/>
        </w:rPr>
        <w:t>2</w:t>
      </w:r>
      <w:r w:rsidR="004418C2">
        <w:rPr>
          <w:rFonts w:cs="Arial"/>
          <w:szCs w:val="24"/>
        </w:rPr>
        <w:t xml:space="preserve"> m</w:t>
      </w:r>
      <w:r w:rsidR="004418C2" w:rsidRPr="001A59A4">
        <w:rPr>
          <w:rFonts w:cs="Arial"/>
          <w:szCs w:val="24"/>
        </w:rPr>
        <w:t>ol.L</w:t>
      </w:r>
      <w:r w:rsidR="004418C2" w:rsidRPr="001A59A4">
        <w:rPr>
          <w:rFonts w:cs="Arial"/>
          <w:szCs w:val="24"/>
          <w:vertAlign w:val="superscript"/>
        </w:rPr>
        <w:t>-1</w:t>
      </w:r>
    </w:p>
    <w:p w14:paraId="6472E0B2" w14:textId="066210C6" w:rsidR="007153AE" w:rsidRDefault="007153AE" w:rsidP="00F12E80">
      <w:pPr>
        <w:rPr>
          <w:rFonts w:cs="Arial"/>
          <w:szCs w:val="24"/>
        </w:rPr>
      </w:pPr>
      <w:r>
        <w:rPr>
          <w:rFonts w:cs="Arial"/>
          <w:i/>
          <w:iCs/>
          <w:szCs w:val="24"/>
        </w:rPr>
        <w:t>V</w:t>
      </w:r>
      <w:r>
        <w:rPr>
          <w:rFonts w:cs="Arial"/>
          <w:szCs w:val="24"/>
          <w:vertAlign w:val="subscript"/>
        </w:rPr>
        <w:t>0</w:t>
      </w:r>
      <w:r>
        <w:rPr>
          <w:rFonts w:cs="Arial"/>
          <w:szCs w:val="24"/>
        </w:rPr>
        <w:t xml:space="preserve"> = ?</w:t>
      </w:r>
      <w:r w:rsidR="004418C2">
        <w:rPr>
          <w:rFonts w:cs="Arial"/>
          <w:szCs w:val="24"/>
        </w:rPr>
        <w:tab/>
        <w:t>à prélever avec une pipette jaugée</w:t>
      </w:r>
      <w:r w:rsidR="004418C2">
        <w:rPr>
          <w:rFonts w:cs="Arial"/>
          <w:szCs w:val="24"/>
        </w:rPr>
        <w:tab/>
      </w:r>
      <w:r w:rsidR="004418C2">
        <w:rPr>
          <w:rFonts w:cs="Arial"/>
          <w:szCs w:val="24"/>
        </w:rPr>
        <w:tab/>
      </w:r>
      <w:r w:rsidR="004418C2">
        <w:rPr>
          <w:rFonts w:cs="Arial"/>
          <w:szCs w:val="24"/>
        </w:rPr>
        <w:tab/>
      </w:r>
      <w:r w:rsidR="004418C2">
        <w:rPr>
          <w:rFonts w:cs="Arial"/>
          <w:i/>
          <w:iCs/>
          <w:szCs w:val="24"/>
        </w:rPr>
        <w:t>V</w:t>
      </w:r>
      <w:r w:rsidR="004418C2">
        <w:rPr>
          <w:rFonts w:cs="Arial"/>
          <w:szCs w:val="24"/>
          <w:vertAlign w:val="subscript"/>
        </w:rPr>
        <w:t>b</w:t>
      </w:r>
      <w:r w:rsidR="004418C2">
        <w:rPr>
          <w:rFonts w:cs="Arial"/>
          <w:szCs w:val="24"/>
        </w:rPr>
        <w:t xml:space="preserve"> = ? à diluer dans une fiole jaugée</w:t>
      </w:r>
    </w:p>
    <w:p w14:paraId="59433D16" w14:textId="189EE887" w:rsidR="004418C2" w:rsidRDefault="004418C2" w:rsidP="00F12E80">
      <w:pPr>
        <w:rPr>
          <w:rFonts w:cs="Arial"/>
          <w:szCs w:val="24"/>
        </w:rPr>
      </w:pPr>
      <w:r>
        <w:rPr>
          <w:rFonts w:cs="Arial"/>
          <w:szCs w:val="24"/>
        </w:rPr>
        <w:t xml:space="preserve">Au cours d’une dilution, la quantité de matière de soluté se conserve donc </w:t>
      </w:r>
      <w:r>
        <w:rPr>
          <w:rFonts w:cs="Arial"/>
          <w:i/>
          <w:iCs/>
          <w:szCs w:val="24"/>
        </w:rPr>
        <w:t>n</w:t>
      </w:r>
      <w:r>
        <w:rPr>
          <w:rFonts w:cs="Arial"/>
          <w:i/>
          <w:iCs/>
          <w:szCs w:val="24"/>
          <w:vertAlign w:val="subscript"/>
        </w:rPr>
        <w:t>0</w:t>
      </w:r>
      <w:r>
        <w:rPr>
          <w:rFonts w:cs="Arial"/>
          <w:i/>
          <w:iCs/>
          <w:szCs w:val="24"/>
        </w:rPr>
        <w:t xml:space="preserve"> </w:t>
      </w:r>
      <w:r>
        <w:rPr>
          <w:rFonts w:cs="Arial"/>
          <w:szCs w:val="24"/>
        </w:rPr>
        <w:t xml:space="preserve">= </w:t>
      </w:r>
      <w:r>
        <w:rPr>
          <w:rFonts w:cs="Arial"/>
          <w:i/>
          <w:iCs/>
          <w:szCs w:val="24"/>
        </w:rPr>
        <w:t>n</w:t>
      </w:r>
      <w:r>
        <w:rPr>
          <w:rFonts w:cs="Arial"/>
          <w:i/>
          <w:iCs/>
          <w:szCs w:val="24"/>
          <w:vertAlign w:val="subscript"/>
        </w:rPr>
        <w:t>b</w:t>
      </w:r>
    </w:p>
    <w:p w14:paraId="5C4CD7E2" w14:textId="13FB5364" w:rsidR="004418C2" w:rsidRDefault="004418C2" w:rsidP="00F12E80">
      <w:pPr>
        <w:rPr>
          <w:rFonts w:cs="Arial"/>
          <w:szCs w:val="24"/>
        </w:rPr>
      </w:pPr>
      <w:r w:rsidRPr="004418C2">
        <w:rPr>
          <w:rFonts w:cs="Arial"/>
          <w:position w:val="-12"/>
          <w:szCs w:val="24"/>
        </w:rPr>
        <w:object w:dxaOrig="1540" w:dyaOrig="360" w14:anchorId="72A2C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8pt" o:ole="">
            <v:imagedata r:id="rId7" o:title=""/>
          </v:shape>
          <o:OLEObject Type="Embed" ProgID="Equation.DSMT4" ShapeID="_x0000_i1025" DrawAspect="Content" ObjectID="_1842629952" r:id="rId8"/>
        </w:object>
      </w:r>
      <w:r w:rsidR="00DD0E35">
        <w:rPr>
          <w:rFonts w:cs="Arial"/>
          <w:szCs w:val="24"/>
        </w:rPr>
        <w:t xml:space="preserve"> donc  </w:t>
      </w:r>
      <w:r w:rsidRPr="004418C2">
        <w:rPr>
          <w:rFonts w:cs="Arial"/>
          <w:position w:val="-30"/>
          <w:szCs w:val="24"/>
        </w:rPr>
        <w:object w:dxaOrig="1200" w:dyaOrig="680" w14:anchorId="0BD5BC04">
          <v:shape id="_x0000_i1026" type="#_x0000_t75" style="width:60pt;height:33.75pt" o:ole="">
            <v:imagedata r:id="rId9" o:title=""/>
          </v:shape>
          <o:OLEObject Type="Embed" ProgID="Equation.DSMT4" ShapeID="_x0000_i1026" DrawAspect="Content" ObjectID="_1842629953" r:id="rId10"/>
        </w:object>
      </w:r>
    </w:p>
    <w:p w14:paraId="7747FC27" w14:textId="66741E9F" w:rsidR="004418C2" w:rsidRDefault="004418C2" w:rsidP="00F12E80">
      <w:pPr>
        <w:rPr>
          <w:rFonts w:cs="Arial"/>
          <w:szCs w:val="24"/>
        </w:rPr>
      </w:pPr>
      <w:r w:rsidRPr="004418C2">
        <w:rPr>
          <w:rFonts w:cs="Arial"/>
          <w:position w:val="-28"/>
          <w:szCs w:val="24"/>
        </w:rPr>
        <w:object w:dxaOrig="2640" w:dyaOrig="700" w14:anchorId="600FA2DF">
          <v:shape id="_x0000_i1027" type="#_x0000_t75" style="width:132pt;height:35.25pt" o:ole="">
            <v:imagedata r:id="rId11" o:title=""/>
          </v:shape>
          <o:OLEObject Type="Embed" ProgID="Equation.DSMT4" ShapeID="_x0000_i1027" DrawAspect="Content" ObjectID="_1842629954" r:id="rId12"/>
        </w:object>
      </w:r>
    </w:p>
    <w:p w14:paraId="1DCDEA6B" w14:textId="4398D1A5" w:rsidR="004418C2" w:rsidRDefault="004418C2" w:rsidP="00F12E80">
      <w:pPr>
        <w:rPr>
          <w:rFonts w:cs="Arial"/>
          <w:szCs w:val="24"/>
        </w:rPr>
      </w:pPr>
      <w:r>
        <w:rPr>
          <w:rFonts w:cs="Arial"/>
          <w:szCs w:val="24"/>
        </w:rPr>
        <w:t>Pour respecter cette proportion, on peut utiliser une pipette jaugée de</w:t>
      </w:r>
      <w:r w:rsidR="00DD0E35">
        <w:rPr>
          <w:rFonts w:cs="Arial"/>
          <w:szCs w:val="24"/>
        </w:rPr>
        <w:t xml:space="preserve"> 10,0 mL et une fiole jaugée de 50,0 mL.</w:t>
      </w:r>
    </w:p>
    <w:p w14:paraId="7A280211" w14:textId="41F768A4" w:rsidR="004418C2" w:rsidRPr="004418C2" w:rsidRDefault="004418C2" w:rsidP="00F12E80">
      <w:pPr>
        <w:rPr>
          <w:rFonts w:cs="Arial"/>
          <w:szCs w:val="24"/>
        </w:rPr>
      </w:pPr>
      <w:r>
        <w:rPr>
          <w:rFonts w:cs="Arial"/>
          <w:szCs w:val="24"/>
        </w:rPr>
        <w:t>Autre méthode :</w:t>
      </w:r>
    </w:p>
    <w:p w14:paraId="57E2EC5F" w14:textId="75E98D1D" w:rsidR="00F12E80" w:rsidRPr="0084057A" w:rsidRDefault="004418C2" w:rsidP="00F12E80">
      <w:p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F12E80" w:rsidRPr="004418C2">
        <w:rPr>
          <w:rFonts w:cs="Arial"/>
          <w:szCs w:val="24"/>
        </w:rPr>
        <w:t>alculer le facteur de dilution</w:t>
      </w:r>
      <w:r w:rsidR="000D38CB" w:rsidRPr="004418C2">
        <w:rPr>
          <w:rFonts w:cs="Arial"/>
          <w:szCs w:val="24"/>
        </w:rPr>
        <w:t xml:space="preserve"> : </w:t>
      </w:r>
      <m:oMath>
        <m:r>
          <w:rPr>
            <w:rFonts w:ascii="Cambria Math" w:hAnsi="Cambria Math" w:cs="Arial"/>
            <w:szCs w:val="24"/>
          </w:rPr>
          <m:t>F=</m:t>
        </m:r>
        <m:f>
          <m:fPr>
            <m:ctrlPr>
              <w:rPr>
                <w:rFonts w:ascii="Cambria Math" w:hAnsi="Cambria Math" w:cs="Arial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mère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fille</m:t>
                </m:r>
              </m:sub>
            </m:sSub>
          </m:den>
        </m:f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fiole jaugée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pipette jaugée</m:t>
                </m:r>
              </m:sub>
            </m:sSub>
          </m:den>
        </m:f>
      </m:oMath>
    </w:p>
    <w:p w14:paraId="5F0798BB" w14:textId="58AF722B" w:rsidR="000D38CB" w:rsidRPr="00DD0E35" w:rsidRDefault="00F12E80" w:rsidP="00DD0E35">
      <w:pPr>
        <w:rPr>
          <w:rFonts w:cs="Arial"/>
          <w:szCs w:val="24"/>
        </w:rPr>
      </w:pPr>
      <w:r w:rsidRPr="0084057A">
        <w:rPr>
          <w:rFonts w:cs="Arial"/>
          <w:szCs w:val="24"/>
        </w:rPr>
        <w:lastRenderedPageBreak/>
        <w:t xml:space="preserve">On veut passer de </w:t>
      </w:r>
      <m:oMath>
        <m:sSub>
          <m:sSubPr>
            <m:ctrlPr>
              <w:rPr>
                <w:rFonts w:ascii="Cambria Math" w:hAnsi="Cambria Math" w:cs="Arial"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Cs w:val="24"/>
              </w:rPr>
              <m:t>0</m:t>
            </m:r>
          </m:sub>
        </m:sSub>
        <m:r>
          <w:rPr>
            <w:rFonts w:ascii="Cambria Math" w:hAnsi="Cambria Math" w:cs="Arial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Cs w:val="24"/>
          </w:rPr>
          <m:t>5,00</m:t>
        </m:r>
        <m:r>
          <w:rPr>
            <w:rFonts w:ascii="Cambria Math" w:hAnsi="Cambria Math" w:cs="Arial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Cs w:val="24"/>
              </w:rPr>
              <m:t>-2</m:t>
            </m:r>
          </m:sup>
        </m:sSup>
        <m:r>
          <m:rPr>
            <m:sty m:val="p"/>
          </m:rPr>
          <w:rPr>
            <w:rFonts w:ascii="Cambria Math" w:hAnsi="Cambria Math" w:cs="Arial"/>
            <w:szCs w:val="24"/>
          </w:rPr>
          <m:t> 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m:rPr>
                <m:nor/>
              </m:rPr>
              <w:rPr>
                <w:rFonts w:cs="Arial"/>
                <w:szCs w:val="24"/>
              </w:rPr>
              <m:t>mol.L</m:t>
            </m:r>
          </m:e>
          <m:sup>
            <m:r>
              <w:rPr>
                <w:rFonts w:ascii="Cambria Math" w:hAnsi="Cambria Math" w:cs="Arial"/>
                <w:szCs w:val="24"/>
              </w:rPr>
              <m:t>-1</m:t>
            </m:r>
          </m:sup>
        </m:sSup>
      </m:oMath>
      <w:r w:rsidR="000D38CB" w:rsidRPr="0084057A">
        <w:rPr>
          <w:rFonts w:eastAsiaTheme="minorEastAsia" w:cs="Arial"/>
          <w:szCs w:val="24"/>
        </w:rPr>
        <w:t xml:space="preserve">  </w:t>
      </w:r>
      <w:r w:rsidRPr="0084057A">
        <w:rPr>
          <w:rFonts w:cs="Arial"/>
          <w:szCs w:val="24"/>
        </w:rPr>
        <w:t xml:space="preserve">à </w:t>
      </w:r>
      <w:r w:rsidR="000D38CB" w:rsidRPr="0084057A">
        <w:rPr>
          <w:rFonts w:cs="Arial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Cs w:val="24"/>
              </w:rPr>
              <m:t>b</m:t>
            </m:r>
          </m:sub>
        </m:sSub>
        <m:r>
          <w:rPr>
            <w:rFonts w:ascii="Cambria Math" w:hAnsi="Cambria Math" w:cs="Arial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Cs w:val="24"/>
          </w:rPr>
          <m:t>1,00</m:t>
        </m:r>
        <m:r>
          <w:rPr>
            <w:rFonts w:ascii="Cambria Math" w:hAnsi="Cambria Math" w:cs="Arial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Cs w:val="24"/>
              </w:rPr>
              <m:t>-2</m:t>
            </m:r>
          </m:sup>
        </m:sSup>
        <m:r>
          <m:rPr>
            <m:sty m:val="p"/>
          </m:rPr>
          <w:rPr>
            <w:rFonts w:ascii="Cambria Math" w:hAnsi="Cambria Math" w:cs="Arial"/>
            <w:szCs w:val="24"/>
          </w:rPr>
          <m:t> 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m:rPr>
                <m:nor/>
              </m:rPr>
              <w:rPr>
                <w:rFonts w:cs="Arial"/>
                <w:szCs w:val="24"/>
              </w:rPr>
              <m:t>mol.L</m:t>
            </m:r>
          </m:e>
          <m:sup>
            <m:r>
              <w:rPr>
                <w:rFonts w:ascii="Cambria Math" w:hAnsi="Cambria Math" w:cs="Arial"/>
                <w:szCs w:val="24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="Arial"/>
            <w:szCs w:val="24"/>
          </w:rPr>
          <w:br/>
        </m:r>
      </m:oMath>
      <w:r w:rsidRPr="0084057A">
        <w:rPr>
          <w:rFonts w:cs="Arial"/>
          <w:szCs w:val="24"/>
        </w:rPr>
        <w:t>Le facteur de dilution est :</w:t>
      </w:r>
      <w:r w:rsidR="000D38CB" w:rsidRPr="0084057A">
        <w:rPr>
          <w:rFonts w:cs="Arial"/>
          <w:szCs w:val="24"/>
        </w:rPr>
        <w:t xml:space="preserve"> </w:t>
      </w:r>
      <m:oMath>
        <m:r>
          <m:rPr>
            <m:nor/>
          </m:rPr>
          <w:rPr>
            <w:rFonts w:cs="Arial"/>
            <w:sz w:val="28"/>
            <w:szCs w:val="28"/>
          </w:rPr>
          <m:t>F</m:t>
        </m:r>
        <m:r>
          <m:rPr>
            <m:nor/>
          </m:rPr>
          <w:rPr>
            <w:rFonts w:ascii="Cambria Math" w:cs="Arial"/>
            <w:sz w:val="28"/>
            <w:szCs w:val="28"/>
          </w:rPr>
          <m:t xml:space="preserve"> </m:t>
        </m:r>
        <m:r>
          <m:rPr>
            <m:nor/>
          </m:rPr>
          <w:rPr>
            <w:rFonts w:cs="Arial"/>
            <w:sz w:val="28"/>
            <w:szCs w:val="28"/>
          </w:rPr>
          <m:t>=</m:t>
        </m:r>
        <m:r>
          <m:rPr>
            <m:nor/>
          </m:rPr>
          <w:rPr>
            <w:rFonts w:asci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b</m:t>
                </m:r>
              </m:sub>
            </m:sSub>
          </m:den>
        </m:f>
        <m:r>
          <m:rPr>
            <m:nor/>
          </m:rPr>
          <w:rPr>
            <w:rFonts w:ascii="Cambria Math" w:eastAsiaTheme="minorEastAsia" w:cs="Arial"/>
            <w:sz w:val="28"/>
            <w:szCs w:val="28"/>
          </w:rPr>
          <m:t xml:space="preserve"> </m:t>
        </m:r>
        <m:r>
          <m:rPr>
            <m:nor/>
          </m:rPr>
          <w:rPr>
            <w:rFonts w:eastAsiaTheme="minorEastAsia" w:cs="Arial"/>
            <w:sz w:val="28"/>
            <w:szCs w:val="28"/>
          </w:rPr>
          <m:t>=</m:t>
        </m:r>
        <m:r>
          <m:rPr>
            <m:nor/>
          </m:rPr>
          <w:rPr>
            <w:rFonts w:ascii="Cambria Math" w:eastAsiaTheme="minorEastAsia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cs="Arial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cs="Arial"/>
                <w:sz w:val="28"/>
                <w:szCs w:val="28"/>
              </w:rPr>
              <m:t>5,00×</m:t>
            </m:r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-2</m:t>
                </m:r>
              </m:sup>
            </m:sSup>
          </m:num>
          <m:den>
            <m:r>
              <m:rPr>
                <m:nor/>
              </m:rPr>
              <w:rPr>
                <w:rFonts w:cs="Arial"/>
                <w:sz w:val="28"/>
                <w:szCs w:val="28"/>
              </w:rPr>
              <m:t>1,00×</m:t>
            </m:r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cs="Arial"/>
                    <w:sz w:val="28"/>
                    <w:szCs w:val="28"/>
                  </w:rPr>
                  <m:t>-2</m:t>
                </m:r>
              </m:sup>
            </m:sSup>
          </m:den>
        </m:f>
        <m:r>
          <m:rPr>
            <m:nor/>
          </m:rPr>
          <w:rPr>
            <w:rFonts w:ascii="Cambria Math" w:cs="Arial"/>
            <w:sz w:val="28"/>
            <w:szCs w:val="28"/>
          </w:rPr>
          <m:t xml:space="preserve"> </m:t>
        </m:r>
        <m:r>
          <m:rPr>
            <m:nor/>
          </m:rPr>
          <w:rPr>
            <w:rFonts w:cs="Arial"/>
            <w:sz w:val="28"/>
            <w:szCs w:val="28"/>
          </w:rPr>
          <m:t>=</m:t>
        </m:r>
        <m:r>
          <m:rPr>
            <m:nor/>
          </m:rPr>
          <w:rPr>
            <w:rFonts w:ascii="Cambria Math" w:cs="Arial"/>
            <w:sz w:val="28"/>
            <w:szCs w:val="28"/>
          </w:rPr>
          <m:t xml:space="preserve"> </m:t>
        </m:r>
        <m:r>
          <m:rPr>
            <m:nor/>
          </m:rPr>
          <w:rPr>
            <w:rFonts w:cs="Arial"/>
            <w:sz w:val="28"/>
            <w:szCs w:val="28"/>
          </w:rPr>
          <m:t>5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br/>
        </m:r>
      </m:oMath>
    </w:p>
    <w:p w14:paraId="22598A07" w14:textId="054F7699" w:rsidR="00F12E80" w:rsidRPr="0084057A" w:rsidRDefault="00DD0E35" w:rsidP="00DD0E35">
      <w:pP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DD0E35">
        <w:rPr>
          <w:rFonts w:cs="Arial"/>
          <w:b/>
          <w:bCs/>
          <w:szCs w:val="24"/>
        </w:rPr>
        <w:t>Q.4. Écrire l'équation de la réaction support du titrage entre l'ion hydroxyde et l'aspirine. On utilisera</w:t>
      </w:r>
      <w:r>
        <w:rPr>
          <w:rFonts w:cs="Arial"/>
          <w:b/>
          <w:bCs/>
          <w:szCs w:val="24"/>
        </w:rPr>
        <w:t xml:space="preserve"> </w:t>
      </w:r>
      <w:r w:rsidRPr="00DD0E35">
        <w:rPr>
          <w:rFonts w:cs="Arial"/>
          <w:b/>
          <w:bCs/>
          <w:szCs w:val="24"/>
        </w:rPr>
        <w:t>la notation AH pour designer l'aspirine.</w:t>
      </w:r>
    </w:p>
    <w:p w14:paraId="6010F8B8" w14:textId="0127683A" w:rsidR="00F12E80" w:rsidRDefault="00F12E80" w:rsidP="00F12E80">
      <w:pPr>
        <w:rPr>
          <w:rFonts w:cs="Arial"/>
          <w:szCs w:val="24"/>
        </w:rPr>
      </w:pPr>
      <w:r w:rsidRPr="00DD0E35">
        <w:rPr>
          <w:rFonts w:cs="Arial"/>
          <w:szCs w:val="24"/>
          <w:highlight w:val="cyan"/>
        </w:rPr>
        <w:t>aspirine notée AH = acide ; l’ion hydroxyde est une base</w:t>
      </w:r>
      <w:r w:rsidR="000D38CB" w:rsidRPr="00DD0E35">
        <w:rPr>
          <w:rFonts w:cs="Arial"/>
          <w:szCs w:val="24"/>
          <w:highlight w:val="cyan"/>
        </w:rPr>
        <w:t xml:space="preserve"> (base du couple</w:t>
      </w:r>
      <w:r w:rsidR="00DD0E35" w:rsidRPr="00DD0E35">
        <w:rPr>
          <w:rFonts w:cs="Arial"/>
          <w:szCs w:val="24"/>
          <w:highlight w:val="cyan"/>
        </w:rPr>
        <w:t xml:space="preserve"> H</w:t>
      </w:r>
      <w:r w:rsidR="00DD0E35" w:rsidRPr="00DD0E35">
        <w:rPr>
          <w:rFonts w:cs="Arial"/>
          <w:szCs w:val="24"/>
          <w:highlight w:val="cyan"/>
          <w:vertAlign w:val="subscript"/>
        </w:rPr>
        <w:t>2</w:t>
      </w:r>
      <w:r w:rsidR="00DD0E35" w:rsidRPr="00DD0E35">
        <w:rPr>
          <w:rFonts w:cs="Arial"/>
          <w:szCs w:val="24"/>
          <w:highlight w:val="cyan"/>
        </w:rPr>
        <w:t>O(</w:t>
      </w:r>
      <w:r w:rsidR="00DD0E35" w:rsidRPr="00DD0E35">
        <w:rPr>
          <w:rFonts w:ascii="Cambria Math" w:hAnsi="Cambria Math" w:cs="Arial"/>
          <w:szCs w:val="24"/>
          <w:highlight w:val="cyan"/>
        </w:rPr>
        <w:t>ℓ</w:t>
      </w:r>
      <w:r w:rsidR="00DD0E35" w:rsidRPr="00DD0E35">
        <w:rPr>
          <w:rFonts w:cs="Arial"/>
          <w:szCs w:val="24"/>
          <w:highlight w:val="cyan"/>
        </w:rPr>
        <w:t>)/HO</w:t>
      </w:r>
      <w:r w:rsidR="00DD0E35" w:rsidRPr="00DD0E35">
        <w:rPr>
          <w:rFonts w:cs="Arial"/>
          <w:szCs w:val="24"/>
          <w:highlight w:val="cyan"/>
          <w:vertAlign w:val="superscript"/>
        </w:rPr>
        <w:t>–</w:t>
      </w:r>
      <w:r w:rsidR="00DD0E35" w:rsidRPr="00DD0E35">
        <w:rPr>
          <w:rFonts w:cs="Arial"/>
          <w:szCs w:val="24"/>
          <w:highlight w:val="cyan"/>
        </w:rPr>
        <w:t>(aq))</w:t>
      </w:r>
    </w:p>
    <w:p w14:paraId="34D13B8B" w14:textId="3E5EF9A6" w:rsidR="00DD0E35" w:rsidRDefault="00DD0E35" w:rsidP="00F12E80">
      <w:pPr>
        <w:rPr>
          <w:rFonts w:cs="Arial"/>
          <w:szCs w:val="24"/>
        </w:rPr>
      </w:pPr>
      <w:r>
        <w:rPr>
          <w:rFonts w:cs="Arial"/>
          <w:szCs w:val="24"/>
        </w:rPr>
        <w:t xml:space="preserve">AH(aq) + </w:t>
      </w:r>
      <w:r w:rsidR="00AB7EE4">
        <w:rPr>
          <w:rFonts w:cs="Arial"/>
          <w:szCs w:val="24"/>
        </w:rPr>
        <w:t>HO</w:t>
      </w:r>
      <w:r w:rsidR="00AB7EE4">
        <w:rPr>
          <w:rFonts w:cs="Arial"/>
          <w:szCs w:val="24"/>
          <w:vertAlign w:val="superscript"/>
        </w:rPr>
        <w:t>–</w:t>
      </w:r>
      <w:r w:rsidR="00AB7EE4">
        <w:rPr>
          <w:rFonts w:cs="Arial"/>
          <w:szCs w:val="24"/>
        </w:rPr>
        <w:t>(aq)</w:t>
      </w:r>
      <w:r>
        <w:rPr>
          <w:rFonts w:cs="Arial"/>
          <w:szCs w:val="24"/>
        </w:rPr>
        <w:t xml:space="preserve"> </w:t>
      </w:r>
      <w:r w:rsidRPr="00DD0E35">
        <w:rPr>
          <w:rFonts w:cs="Arial"/>
          <w:szCs w:val="24"/>
        </w:rPr>
        <w:sym w:font="Wingdings" w:char="F0E0"/>
      </w:r>
      <w:r>
        <w:rPr>
          <w:rFonts w:cs="Arial"/>
          <w:szCs w:val="24"/>
        </w:rPr>
        <w:t xml:space="preserve"> A</w:t>
      </w:r>
      <w:r>
        <w:rPr>
          <w:rFonts w:cs="Arial"/>
          <w:szCs w:val="24"/>
          <w:vertAlign w:val="superscript"/>
        </w:rPr>
        <w:t>–</w:t>
      </w:r>
      <w:r>
        <w:rPr>
          <w:rFonts w:cs="Arial"/>
          <w:szCs w:val="24"/>
        </w:rPr>
        <w:t xml:space="preserve">(aq) + </w:t>
      </w:r>
      <w:r w:rsidR="00AB7EE4">
        <w:rPr>
          <w:rFonts w:cs="Arial"/>
          <w:szCs w:val="24"/>
        </w:rPr>
        <w:t>H</w:t>
      </w:r>
      <w:r w:rsidR="00AB7EE4">
        <w:rPr>
          <w:rFonts w:cs="Arial"/>
          <w:szCs w:val="24"/>
          <w:vertAlign w:val="subscript"/>
        </w:rPr>
        <w:t>2</w:t>
      </w:r>
      <w:r w:rsidR="00AB7EE4">
        <w:rPr>
          <w:rFonts w:cs="Arial"/>
          <w:szCs w:val="24"/>
        </w:rPr>
        <w:t>O(</w:t>
      </w:r>
      <w:r w:rsidR="00AB7EE4">
        <w:rPr>
          <w:rFonts w:ascii="Cambria Math" w:hAnsi="Cambria Math" w:cs="Arial"/>
          <w:szCs w:val="24"/>
        </w:rPr>
        <w:t>ℓ</w:t>
      </w:r>
      <w:r w:rsidR="00AB7EE4">
        <w:rPr>
          <w:rFonts w:cs="Arial"/>
          <w:szCs w:val="24"/>
        </w:rPr>
        <w:t>)</w:t>
      </w:r>
    </w:p>
    <w:p w14:paraId="263ECAF7" w14:textId="77777777" w:rsidR="00DD0E35" w:rsidRPr="00DD0E35" w:rsidRDefault="00DD0E35" w:rsidP="00F12E80">
      <w:pPr>
        <w:rPr>
          <w:rFonts w:cs="Arial"/>
          <w:szCs w:val="24"/>
        </w:rPr>
      </w:pPr>
    </w:p>
    <w:p w14:paraId="6C8BC0A8" w14:textId="77777777" w:rsidR="00F12E80" w:rsidRPr="0084057A" w:rsidRDefault="00F12E80" w:rsidP="000D38CB">
      <w:pP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84057A">
        <w:rPr>
          <w:rFonts w:cs="Arial"/>
          <w:b/>
          <w:bCs/>
          <w:szCs w:val="24"/>
        </w:rPr>
        <w:t>Q.5. Définir l’équivalence d’un titrage.</w:t>
      </w:r>
    </w:p>
    <w:p w14:paraId="498C0393" w14:textId="6A985CCE" w:rsidR="00F12E80" w:rsidRDefault="00DD0E35" w:rsidP="00F12E80">
      <w:pPr>
        <w:rPr>
          <w:rFonts w:cs="Arial"/>
          <w:szCs w:val="24"/>
        </w:rPr>
      </w:pPr>
      <w:r w:rsidRPr="00DD0E35">
        <w:rPr>
          <w:rFonts w:cs="Arial"/>
          <w:szCs w:val="24"/>
        </w:rPr>
        <w:t>À l</w:t>
      </w:r>
      <w:r w:rsidR="00F12E80" w:rsidRPr="00DD0E35">
        <w:rPr>
          <w:rFonts w:cs="Arial"/>
          <w:szCs w:val="24"/>
        </w:rPr>
        <w:t xml:space="preserve">’équivalence </w:t>
      </w:r>
      <w:r w:rsidR="000D38CB" w:rsidRPr="00DD0E35">
        <w:rPr>
          <w:rFonts w:cs="Arial"/>
          <w:szCs w:val="24"/>
        </w:rPr>
        <w:t>les réactifs sont introduits dans les proportions stœchiométriques</w:t>
      </w:r>
      <w:r w:rsidR="00F12E80" w:rsidRPr="00DD0E35">
        <w:rPr>
          <w:rFonts w:cs="Arial"/>
          <w:szCs w:val="24"/>
        </w:rPr>
        <w:t>.</w:t>
      </w:r>
    </w:p>
    <w:p w14:paraId="4A51E218" w14:textId="77777777" w:rsidR="00DD0E35" w:rsidRPr="00DD0E35" w:rsidRDefault="00DD0E35" w:rsidP="00F12E80">
      <w:pPr>
        <w:rPr>
          <w:rFonts w:cs="Arial"/>
          <w:szCs w:val="24"/>
        </w:rPr>
      </w:pPr>
    </w:p>
    <w:p w14:paraId="33AC907B" w14:textId="77777777" w:rsidR="00F12E80" w:rsidRPr="0084057A" w:rsidRDefault="00F12E80" w:rsidP="008847E7">
      <w:pP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84057A">
        <w:rPr>
          <w:rFonts w:cs="Arial"/>
          <w:b/>
          <w:bCs/>
          <w:szCs w:val="24"/>
        </w:rPr>
        <w:t>Q.6. Déterminer la valeur du volume à l’équivalence en précisant la méthode utilisée.</w:t>
      </w:r>
    </w:p>
    <w:p w14:paraId="4F2BC49A" w14:textId="61F3B7C6" w:rsidR="00DD0E35" w:rsidRDefault="00DD0E35" w:rsidP="00F102F4">
      <w:pPr>
        <w:jc w:val="both"/>
        <w:rPr>
          <w:rFonts w:cs="Arial"/>
          <w:szCs w:val="24"/>
        </w:rPr>
      </w:pPr>
      <w:r w:rsidRPr="00DD0E35">
        <w:rPr>
          <w:rFonts w:cs="Arial"/>
          <w:szCs w:val="24"/>
        </w:rPr>
        <w:t xml:space="preserve">À l’aide </w:t>
      </w:r>
      <w:r>
        <w:rPr>
          <w:rFonts w:cs="Arial"/>
          <w:szCs w:val="24"/>
        </w:rPr>
        <w:t xml:space="preserve">de la méthode des tangentes </w:t>
      </w:r>
      <w:r w:rsidR="00F102F4">
        <w:rPr>
          <w:rFonts w:cs="Arial"/>
          <w:szCs w:val="24"/>
        </w:rPr>
        <w:t xml:space="preserve">(Voir </w:t>
      </w:r>
      <w:hyperlink r:id="rId13" w:history="1">
        <w:r w:rsidR="00F102F4" w:rsidRPr="00A3481D">
          <w:rPr>
            <w:rStyle w:val="Lienhypertexte"/>
            <w:rFonts w:cs="Arial"/>
            <w:szCs w:val="24"/>
          </w:rPr>
          <w:t>https://edurl.fr/tangentes</w:t>
        </w:r>
      </w:hyperlink>
      <w:r w:rsidR="00F102F4">
        <w:rPr>
          <w:rFonts w:cs="Arial"/>
          <w:szCs w:val="24"/>
        </w:rPr>
        <w:t xml:space="preserve"> ) on détermine le volume à l’équivalence </w:t>
      </w:r>
      <w:r w:rsidR="00F102F4">
        <w:rPr>
          <w:rFonts w:cs="Arial"/>
          <w:i/>
          <w:iCs/>
          <w:szCs w:val="24"/>
        </w:rPr>
        <w:t>V</w:t>
      </w:r>
      <w:r w:rsidR="00F102F4">
        <w:rPr>
          <w:rFonts w:cs="Arial"/>
          <w:szCs w:val="24"/>
          <w:vertAlign w:val="subscript"/>
        </w:rPr>
        <w:t>E</w:t>
      </w:r>
      <w:r w:rsidR="00F102F4">
        <w:rPr>
          <w:rFonts w:cs="Arial"/>
          <w:szCs w:val="24"/>
        </w:rPr>
        <w:t xml:space="preserve"> = 8,8 mL.</w:t>
      </w:r>
    </w:p>
    <w:p w14:paraId="3908E11F" w14:textId="46A26903" w:rsidR="00F102F4" w:rsidRDefault="00F102F4" w:rsidP="00F102F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On sait aussi qu’il se produit un saut de pH à l’équivalence, ainsi la dérivée </w:t>
      </w:r>
      <w:r w:rsidRPr="00F102F4">
        <w:rPr>
          <w:rFonts w:cs="Arial"/>
          <w:position w:val="-30"/>
          <w:szCs w:val="24"/>
        </w:rPr>
        <w:object w:dxaOrig="800" w:dyaOrig="680" w14:anchorId="73523ECD">
          <v:shape id="_x0000_i1028" type="#_x0000_t75" style="width:39.75pt;height:33.75pt" o:ole="">
            <v:imagedata r:id="rId14" o:title=""/>
          </v:shape>
          <o:OLEObject Type="Embed" ProgID="Equation.DSMT4" ShapeID="_x0000_i1028" DrawAspect="Content" ObjectID="_1842629955" r:id="rId15"/>
        </w:object>
      </w:r>
      <w:r>
        <w:rPr>
          <w:rFonts w:cs="Arial"/>
          <w:szCs w:val="24"/>
        </w:rPr>
        <w:t xml:space="preserve"> est maximale pour le volume </w:t>
      </w:r>
      <w:r w:rsidRPr="00F102F4">
        <w:rPr>
          <w:rFonts w:cs="Arial"/>
          <w:i/>
          <w:iCs/>
          <w:szCs w:val="24"/>
        </w:rPr>
        <w:t>V</w:t>
      </w:r>
      <w:r w:rsidRPr="00F102F4">
        <w:rPr>
          <w:rFonts w:cs="Arial"/>
          <w:szCs w:val="24"/>
          <w:vertAlign w:val="subscript"/>
        </w:rPr>
        <w:t>E</w:t>
      </w:r>
      <w:r>
        <w:rPr>
          <w:rFonts w:cs="Arial"/>
          <w:szCs w:val="24"/>
        </w:rPr>
        <w:t>.</w:t>
      </w:r>
    </w:p>
    <w:p w14:paraId="1B4E1509" w14:textId="77777777" w:rsidR="00F102F4" w:rsidRDefault="00F102F4" w:rsidP="00F102F4">
      <w:pPr>
        <w:jc w:val="both"/>
        <w:rPr>
          <w:rFonts w:cs="Arial"/>
          <w:szCs w:val="24"/>
        </w:rPr>
      </w:pPr>
    </w:p>
    <w:p w14:paraId="2302328C" w14:textId="243210B2" w:rsidR="00F102F4" w:rsidRPr="00F102F4" w:rsidRDefault="00F102F4" w:rsidP="00F102F4">
      <w:pPr>
        <w:shd w:val="clear" w:color="auto" w:fill="D9D9D9" w:themeFill="background1" w:themeFillShade="D9"/>
        <w:jc w:val="both"/>
        <w:rPr>
          <w:rFonts w:cs="Arial"/>
          <w:szCs w:val="24"/>
        </w:rPr>
      </w:pPr>
      <w:r w:rsidRPr="00F102F4">
        <w:rPr>
          <w:rFonts w:cs="Arial"/>
          <w:szCs w:val="24"/>
        </w:rPr>
        <w:t>La pharmacopée européenne admet une limite de ± 15 % de la masse affichée pour commercialiser un médicament.</w:t>
      </w:r>
    </w:p>
    <w:p w14:paraId="3E0356BD" w14:textId="6136777A" w:rsidR="00F102F4" w:rsidRPr="00F102F4" w:rsidRDefault="00F102F4" w:rsidP="00F102F4">
      <w:pPr>
        <w:shd w:val="clear" w:color="auto" w:fill="D9D9D9" w:themeFill="background1" w:themeFillShade="D9"/>
        <w:rPr>
          <w:rFonts w:cs="Arial"/>
          <w:szCs w:val="24"/>
        </w:rPr>
      </w:pPr>
      <w:r w:rsidRPr="00F102F4">
        <w:rPr>
          <w:rFonts w:cs="Arial"/>
          <w:szCs w:val="24"/>
        </w:rPr>
        <w:t>Donnée :</w:t>
      </w:r>
    </w:p>
    <w:p w14:paraId="212356DF" w14:textId="70E5BE05" w:rsidR="00F102F4" w:rsidRPr="00F102F4" w:rsidRDefault="00F102F4" w:rsidP="00F102F4">
      <w:pPr>
        <w:pStyle w:val="Paragraphedeliste"/>
        <w:numPr>
          <w:ilvl w:val="0"/>
          <w:numId w:val="7"/>
        </w:numPr>
        <w:shd w:val="clear" w:color="auto" w:fill="D9D9D9" w:themeFill="background1" w:themeFillShade="D9"/>
        <w:rPr>
          <w:rFonts w:cs="Arial"/>
          <w:szCs w:val="24"/>
        </w:rPr>
      </w:pPr>
      <w:r w:rsidRPr="00F102F4">
        <w:rPr>
          <w:rFonts w:cs="Arial"/>
          <w:szCs w:val="24"/>
        </w:rPr>
        <w:t xml:space="preserve">Masse molaire de l'aspirine : </w:t>
      </w:r>
      <w:r w:rsidRPr="00F102F4">
        <w:rPr>
          <w:rFonts w:cs="Arial"/>
          <w:i/>
          <w:iCs/>
          <w:szCs w:val="24"/>
        </w:rPr>
        <w:t>M</w:t>
      </w:r>
      <w:r w:rsidRPr="00F102F4">
        <w:rPr>
          <w:rFonts w:cs="Arial"/>
          <w:szCs w:val="24"/>
        </w:rPr>
        <w:t>(aspirine) = 180,2 g.mol</w:t>
      </w:r>
      <w:r w:rsidRPr="00F102F4">
        <w:rPr>
          <w:rFonts w:cs="Arial"/>
          <w:szCs w:val="24"/>
          <w:vertAlign w:val="superscript"/>
        </w:rPr>
        <w:t>-1</w:t>
      </w:r>
    </w:p>
    <w:p w14:paraId="63C8640E" w14:textId="77777777" w:rsidR="00F102F4" w:rsidRPr="00F102F4" w:rsidRDefault="00F102F4" w:rsidP="00F102F4">
      <w:pPr>
        <w:shd w:val="clear" w:color="auto" w:fill="D9D9D9" w:themeFill="background1" w:themeFillShade="D9"/>
        <w:rPr>
          <w:rFonts w:cs="Arial"/>
          <w:szCs w:val="24"/>
        </w:rPr>
      </w:pPr>
    </w:p>
    <w:p w14:paraId="0E783AFB" w14:textId="04B4C680" w:rsidR="00F102F4" w:rsidRPr="00F102F4" w:rsidRDefault="00F102F4" w:rsidP="00F102F4">
      <w:pPr>
        <w:shd w:val="clear" w:color="auto" w:fill="D9D9D9" w:themeFill="background1" w:themeFillShade="D9"/>
        <w:jc w:val="both"/>
        <w:rPr>
          <w:rFonts w:cs="Arial"/>
          <w:b/>
          <w:bCs/>
          <w:szCs w:val="24"/>
        </w:rPr>
      </w:pPr>
      <w:r w:rsidRPr="00F102F4">
        <w:rPr>
          <w:rFonts w:cs="Arial"/>
          <w:b/>
          <w:bCs/>
          <w:szCs w:val="24"/>
        </w:rPr>
        <w:t>Q.7. Vérifier, à l'aide du résultat du dosage pH-métrique, si les comprimés d'aspirine interceptés</w:t>
      </w:r>
      <w:r>
        <w:rPr>
          <w:rFonts w:cs="Arial"/>
          <w:b/>
          <w:bCs/>
          <w:szCs w:val="24"/>
        </w:rPr>
        <w:t xml:space="preserve"> </w:t>
      </w:r>
      <w:r w:rsidRPr="00F102F4">
        <w:rPr>
          <w:rFonts w:cs="Arial"/>
          <w:b/>
          <w:bCs/>
          <w:szCs w:val="24"/>
        </w:rPr>
        <w:t>par les douanes sont commercialisables.</w:t>
      </w:r>
    </w:p>
    <w:p w14:paraId="485B2AF3" w14:textId="43422CC4" w:rsidR="00F102F4" w:rsidRPr="00F102F4" w:rsidRDefault="00F102F4" w:rsidP="00F102F4">
      <w:pPr>
        <w:shd w:val="clear" w:color="auto" w:fill="D9D9D9" w:themeFill="background1" w:themeFillShade="D9"/>
        <w:jc w:val="both"/>
        <w:rPr>
          <w:rFonts w:cs="Arial"/>
          <w:i/>
          <w:iCs/>
          <w:szCs w:val="24"/>
        </w:rPr>
      </w:pPr>
      <w:r w:rsidRPr="00F102F4">
        <w:rPr>
          <w:rFonts w:cs="Arial"/>
          <w:i/>
          <w:iCs/>
          <w:szCs w:val="24"/>
        </w:rPr>
        <w:t>Le candidat est invité à prendre des initiatives et à présenter la démarche suivie, même si elle n'a</w:t>
      </w:r>
      <w:r>
        <w:rPr>
          <w:rFonts w:cs="Arial"/>
          <w:i/>
          <w:iCs/>
          <w:szCs w:val="24"/>
        </w:rPr>
        <w:t xml:space="preserve"> </w:t>
      </w:r>
      <w:r w:rsidRPr="00F102F4">
        <w:rPr>
          <w:rFonts w:cs="Arial"/>
          <w:i/>
          <w:iCs/>
          <w:szCs w:val="24"/>
        </w:rPr>
        <w:t>pas abouti. La démarche est évaluée et nécessite d'être correctement présentée.</w:t>
      </w:r>
    </w:p>
    <w:p w14:paraId="764B60B7" w14:textId="5AC8E562" w:rsidR="008847E7" w:rsidRPr="00B14D72" w:rsidRDefault="00B14D72" w:rsidP="00F102F4">
      <w:pPr>
        <w:jc w:val="both"/>
        <w:rPr>
          <w:rFonts w:cs="Arial"/>
          <w:i/>
          <w:iCs/>
          <w:szCs w:val="24"/>
        </w:rPr>
      </w:pPr>
      <w:r w:rsidRPr="00B14D72">
        <w:rPr>
          <w:rFonts w:cs="Arial"/>
          <w:i/>
          <w:iCs/>
          <w:szCs w:val="24"/>
          <w:highlight w:val="cyan"/>
        </w:rPr>
        <w:t>U</w:t>
      </w:r>
      <w:r w:rsidR="008847E7" w:rsidRPr="00B14D72">
        <w:rPr>
          <w:rFonts w:cs="Arial"/>
          <w:i/>
          <w:iCs/>
          <w:szCs w:val="24"/>
          <w:highlight w:val="cyan"/>
        </w:rPr>
        <w:t>tiliser l’équivalence, puis remonter de l’échantillon au comprimé entier → ne pas oublier un éventuel facteur de dilution, ou ici, le fait que l’on n’ait pas titré la totalité de la solution contenant le comprimé</w:t>
      </w:r>
      <w:r w:rsidR="008847E7" w:rsidRPr="00B14D72">
        <w:rPr>
          <w:rFonts w:cs="Arial"/>
          <w:i/>
          <w:iCs/>
          <w:szCs w:val="24"/>
        </w:rPr>
        <w:t>.</w:t>
      </w:r>
    </w:p>
    <w:p w14:paraId="3E6DEA5B" w14:textId="77777777" w:rsidR="00F102F4" w:rsidRPr="00F102F4" w:rsidRDefault="00F12E80" w:rsidP="00F12E80">
      <w:pPr>
        <w:rPr>
          <w:rFonts w:eastAsiaTheme="minorEastAsia" w:cs="Arial"/>
          <w:szCs w:val="24"/>
        </w:rPr>
      </w:pPr>
      <w:r w:rsidRPr="0084057A">
        <w:rPr>
          <w:rFonts w:cs="Arial"/>
          <w:szCs w:val="24"/>
        </w:rPr>
        <w:t>À l’équivalence :</w:t>
      </w:r>
      <w:r w:rsidR="00F102F4">
        <w:rPr>
          <w:rFonts w:cs="Arial"/>
          <w:szCs w:val="24"/>
        </w:rPr>
        <w:t xml:space="preserve"> </w:t>
      </w:r>
      <w:r w:rsidR="00F102F4" w:rsidRPr="00F102F4">
        <w:rPr>
          <w:rFonts w:cs="Arial"/>
          <w:position w:val="-18"/>
          <w:szCs w:val="24"/>
        </w:rPr>
        <w:object w:dxaOrig="2720" w:dyaOrig="460" w14:anchorId="404978A9">
          <v:shape id="_x0000_i1029" type="#_x0000_t75" style="width:135.75pt;height:23.25pt" o:ole="">
            <v:imagedata r:id="rId16" o:title=""/>
          </v:shape>
          <o:OLEObject Type="Embed" ProgID="Equation.DSMT4" ShapeID="_x0000_i1029" DrawAspect="Content" ObjectID="_1842629956" r:id="rId17"/>
        </w:object>
      </w:r>
      <w:r w:rsidR="00F102F4">
        <w:rPr>
          <w:rFonts w:cs="Arial"/>
          <w:szCs w:val="24"/>
        </w:rPr>
        <w:t xml:space="preserve"> </w:t>
      </w:r>
    </w:p>
    <w:p w14:paraId="5A4D07DB" w14:textId="314C78A9" w:rsidR="00F102F4" w:rsidRDefault="008847E7" w:rsidP="00F12E80">
      <w:pPr>
        <w:rPr>
          <w:rFonts w:cs="Arial"/>
          <w:szCs w:val="24"/>
        </w:rPr>
      </w:pPr>
      <w:r w:rsidRPr="0084057A">
        <w:rPr>
          <w:rFonts w:eastAsiaTheme="minorEastAsia" w:cs="Arial"/>
          <w:szCs w:val="24"/>
        </w:rPr>
        <w:t xml:space="preserve">donc </w:t>
      </w:r>
      <w:r w:rsidR="00F102F4" w:rsidRPr="00F102F4">
        <w:rPr>
          <w:rFonts w:cs="Arial"/>
          <w:position w:val="-14"/>
          <w:szCs w:val="24"/>
        </w:rPr>
        <w:object w:dxaOrig="2079" w:dyaOrig="400" w14:anchorId="221DE34A">
          <v:shape id="_x0000_i1030" type="#_x0000_t75" style="width:104.25pt;height:20.25pt" o:ole="">
            <v:imagedata r:id="rId18" o:title=""/>
          </v:shape>
          <o:OLEObject Type="Embed" ProgID="Equation.DSMT4" ShapeID="_x0000_i1030" DrawAspect="Content" ObjectID="_1842629957" r:id="rId19"/>
        </w:object>
      </w:r>
    </w:p>
    <w:p w14:paraId="3F339ECE" w14:textId="76700DC1" w:rsidR="00F102F4" w:rsidRDefault="00F102F4" w:rsidP="00F12E80">
      <w:pPr>
        <w:rPr>
          <w:rFonts w:cs="Arial"/>
          <w:szCs w:val="24"/>
        </w:rPr>
      </w:pPr>
      <w:r w:rsidRPr="00F102F4">
        <w:rPr>
          <w:rFonts w:cs="Arial"/>
          <w:position w:val="-14"/>
          <w:szCs w:val="24"/>
        </w:rPr>
        <w:object w:dxaOrig="6399" w:dyaOrig="400" w14:anchorId="5A0036A3">
          <v:shape id="_x0000_i1031" type="#_x0000_t75" style="width:320.25pt;height:20.25pt" o:ole="">
            <v:imagedata r:id="rId20" o:title=""/>
          </v:shape>
          <o:OLEObject Type="Embed" ProgID="Equation.DSMT4" ShapeID="_x0000_i1031" DrawAspect="Content" ObjectID="_1842629958" r:id="rId21"/>
        </w:object>
      </w:r>
    </w:p>
    <w:p w14:paraId="4511E116" w14:textId="06E26B2A" w:rsidR="008847E7" w:rsidRPr="0084057A" w:rsidRDefault="00F12E80" w:rsidP="008847E7">
      <w:pPr>
        <w:rPr>
          <w:rFonts w:cs="Arial"/>
          <w:szCs w:val="24"/>
        </w:rPr>
      </w:pPr>
      <w:r w:rsidRPr="0084057A">
        <w:rPr>
          <w:rFonts w:cs="Arial"/>
          <w:szCs w:val="24"/>
        </w:rPr>
        <w:t xml:space="preserve">Cette quantité </w:t>
      </w:r>
      <w:r w:rsidR="008847E7" w:rsidRPr="0084057A">
        <w:rPr>
          <w:rFonts w:cs="Arial"/>
          <w:szCs w:val="24"/>
        </w:rPr>
        <w:t xml:space="preserve">de matière </w:t>
      </w:r>
      <w:r w:rsidRPr="0084057A">
        <w:rPr>
          <w:rFonts w:cs="Arial"/>
          <w:szCs w:val="24"/>
        </w:rPr>
        <w:t>correspond seulement à</w:t>
      </w:r>
      <w:r w:rsidR="00F102F4">
        <w:rPr>
          <w:rFonts w:cs="Arial"/>
          <w:szCs w:val="24"/>
        </w:rPr>
        <w:t xml:space="preserve"> 20,0 mL </w:t>
      </w:r>
      <w:r w:rsidRPr="0084057A">
        <w:rPr>
          <w:rFonts w:cs="Arial"/>
          <w:szCs w:val="24"/>
        </w:rPr>
        <w:t>de solution S.</w:t>
      </w:r>
    </w:p>
    <w:p w14:paraId="5ABF0CF1" w14:textId="1D3A7ED8" w:rsidR="008847E7" w:rsidRPr="0084057A" w:rsidRDefault="00F12E80" w:rsidP="008847E7">
      <w:pPr>
        <w:rPr>
          <w:rFonts w:cs="Arial"/>
          <w:szCs w:val="24"/>
        </w:rPr>
      </w:pPr>
      <w:r w:rsidRPr="0084057A">
        <w:rPr>
          <w:rFonts w:cs="Arial"/>
          <w:szCs w:val="24"/>
        </w:rPr>
        <w:t xml:space="preserve">Or le comprimé entier </w:t>
      </w:r>
      <w:r w:rsidR="00F102F4">
        <w:rPr>
          <w:rFonts w:cs="Arial"/>
          <w:szCs w:val="24"/>
        </w:rPr>
        <w:t xml:space="preserve">était </w:t>
      </w:r>
      <w:r w:rsidRPr="0084057A">
        <w:rPr>
          <w:rFonts w:cs="Arial"/>
          <w:szCs w:val="24"/>
        </w:rPr>
        <w:t>dissous dans</w:t>
      </w:r>
      <w:r w:rsidR="00F102F4">
        <w:rPr>
          <w:rFonts w:cs="Arial"/>
          <w:szCs w:val="24"/>
        </w:rPr>
        <w:t xml:space="preserve"> V = 500,0 mL donc il y a </w:t>
      </w:r>
      <w:r w:rsidR="00F102F4" w:rsidRPr="00F102F4">
        <w:rPr>
          <w:rFonts w:cs="Arial"/>
          <w:position w:val="-28"/>
          <w:szCs w:val="24"/>
        </w:rPr>
        <w:object w:dxaOrig="720" w:dyaOrig="660" w14:anchorId="629B2B57">
          <v:shape id="_x0000_i1032" type="#_x0000_t75" style="width:36pt;height:33pt" o:ole="">
            <v:imagedata r:id="rId22" o:title=""/>
          </v:shape>
          <o:OLEObject Type="Embed" ProgID="Equation.DSMT4" ShapeID="_x0000_i1032" DrawAspect="Content" ObjectID="_1842629959" r:id="rId23"/>
        </w:object>
      </w:r>
      <w:r w:rsidR="00F102F4">
        <w:rPr>
          <w:rFonts w:cs="Arial"/>
          <w:szCs w:val="24"/>
        </w:rPr>
        <w:t xml:space="preserve"> = 25 fois plus de quantité de matière</w:t>
      </w:r>
      <w:r w:rsidR="008847E7" w:rsidRPr="0084057A">
        <w:rPr>
          <w:rFonts w:eastAsiaTheme="minorEastAsia" w:cs="Arial"/>
          <w:szCs w:val="24"/>
        </w:rPr>
        <w:t xml:space="preserve"> dans le comprimé entier</w:t>
      </w:r>
      <w:r w:rsidR="00F102F4">
        <w:rPr>
          <w:rFonts w:eastAsiaTheme="minorEastAsia" w:cs="Arial"/>
          <w:szCs w:val="24"/>
        </w:rPr>
        <w:t>.</w:t>
      </w:r>
    </w:p>
    <w:p w14:paraId="6F23DC6E" w14:textId="7E722583" w:rsidR="007F1F13" w:rsidRPr="007F1F13" w:rsidRDefault="007F1F13" w:rsidP="00F12E80">
      <w:pPr>
        <w:rPr>
          <w:rFonts w:eastAsiaTheme="minorEastAsia" w:cs="Arial"/>
          <w:szCs w:val="24"/>
        </w:rPr>
      </w:pPr>
      <w:r w:rsidRPr="007F1F13">
        <w:rPr>
          <w:rFonts w:eastAsiaTheme="minorEastAsia" w:cs="Arial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8FC770D" wp14:editId="39C84F5D">
            <wp:simplePos x="0" y="0"/>
            <wp:positionH relativeFrom="column">
              <wp:posOffset>3733165</wp:posOffset>
            </wp:positionH>
            <wp:positionV relativeFrom="paragraph">
              <wp:posOffset>258445</wp:posOffset>
            </wp:positionV>
            <wp:extent cx="2558869" cy="655320"/>
            <wp:effectExtent l="19050" t="19050" r="13335" b="11430"/>
            <wp:wrapNone/>
            <wp:docPr id="10860248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2488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69" cy="65532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7E7" w:rsidRPr="0084057A">
        <w:rPr>
          <w:rFonts w:cs="Arial"/>
          <w:szCs w:val="24"/>
        </w:rPr>
        <w:t>Q</w:t>
      </w:r>
      <w:r w:rsidR="00F12E80" w:rsidRPr="0084057A">
        <w:rPr>
          <w:rFonts w:cs="Arial"/>
          <w:szCs w:val="24"/>
        </w:rPr>
        <w:t>uantité totale d’aspirine dans le comprimé :</w:t>
      </w:r>
      <w:r w:rsidR="008847E7" w:rsidRPr="0084057A">
        <w:rPr>
          <w:rFonts w:cs="Arial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cs="Arial"/>
                <w:szCs w:val="24"/>
              </w:rPr>
              <m:t>total</m:t>
            </m:r>
            <m:r>
              <m:rPr>
                <m:nor/>
              </m:rPr>
              <w:rPr>
                <w:rFonts w:ascii="Cambria Math" w:cs="Arial"/>
                <w:szCs w:val="24"/>
              </w:rPr>
              <m:t>e</m:t>
            </m:r>
          </m:sub>
        </m:sSub>
        <m:r>
          <w:rPr>
            <w:rFonts w:ascii="Cambria Math" w:hAnsi="Cambria Math" w:cs="Arial"/>
            <w:szCs w:val="24"/>
          </w:rPr>
          <m:t>=25×</m:t>
        </m:r>
        <m:r>
          <m:rPr>
            <m:sty m:val="p"/>
          </m:rPr>
          <w:rPr>
            <w:rFonts w:ascii="Cambria Math" w:hAnsi="Cambria Math" w:cs="Arial"/>
            <w:szCs w:val="24"/>
          </w:rPr>
          <m:t>8,8</m:t>
        </m:r>
        <m:r>
          <w:rPr>
            <w:rFonts w:ascii="Cambria Math" w:hAnsi="Cambria Math" w:cs="Arial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Cs w:val="24"/>
              </w:rPr>
              <m:t>-5</m:t>
            </m:r>
          </m:sup>
        </m:sSup>
        <m:r>
          <w:rPr>
            <w:rFonts w:ascii="Cambria Math" w:eastAsiaTheme="minorEastAsia" w:hAnsi="Cambria Math" w:cs="Arial"/>
            <w:szCs w:val="24"/>
          </w:rPr>
          <m:t>=</m:t>
        </m:r>
        <m:r>
          <m:rPr>
            <m:sty m:val="b"/>
          </m:rPr>
          <w:rPr>
            <w:rFonts w:ascii="Cambria Math" w:hAnsi="Cambria Math" w:cs="Arial"/>
            <w:szCs w:val="24"/>
          </w:rPr>
          <m:t>2,2</m:t>
        </m:r>
        <m:r>
          <m:rPr>
            <m:sty m:val="bi"/>
          </m:rPr>
          <w:rPr>
            <w:rFonts w:ascii="Cambria Math" w:hAnsi="Cambria Math" w:cs="Arial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b/>
                <w:bCs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Cs w:val="24"/>
              </w:rPr>
              <m:t>-3</m:t>
            </m:r>
          </m:sup>
        </m:sSup>
        <m:r>
          <m:rPr>
            <m:nor/>
          </m:rPr>
          <w:rPr>
            <w:rFonts w:cs="Arial"/>
            <w:b/>
            <w:bCs/>
            <w:szCs w:val="24"/>
          </w:rPr>
          <m:t> mol</m:t>
        </m:r>
        <m:r>
          <m:rPr>
            <m:sty m:val="p"/>
          </m:rPr>
          <w:rPr>
            <w:rFonts w:ascii="Cambria Math" w:hAnsi="Cambria Math" w:cs="Arial"/>
            <w:szCs w:val="24"/>
          </w:rPr>
          <w:br/>
        </m:r>
      </m:oMath>
      <w:r w:rsidR="00F12E80" w:rsidRPr="0084057A">
        <w:rPr>
          <w:rFonts w:cs="Arial"/>
          <w:szCs w:val="24"/>
        </w:rPr>
        <w:t>Masse d’aspirine :</w:t>
      </w:r>
      <w:r w:rsidR="008847E7" w:rsidRPr="0084057A">
        <w:rPr>
          <w:rFonts w:cs="Arial"/>
          <w:szCs w:val="24"/>
        </w:rPr>
        <w:t xml:space="preserve"> </w:t>
      </w:r>
      <m:oMath>
        <m:r>
          <w:rPr>
            <w:rFonts w:ascii="Cambria Math" w:hAnsi="Cambria Math" w:cs="Arial"/>
            <w:szCs w:val="24"/>
          </w:rPr>
          <m:t>m=n×M</m:t>
        </m:r>
      </m:oMath>
    </w:p>
    <w:p w14:paraId="41DE7A5D" w14:textId="5A183135" w:rsidR="008847E7" w:rsidRDefault="007F1F13" w:rsidP="00F12E80">
      <w:pPr>
        <w:rPr>
          <w:rFonts w:cs="Arial"/>
          <w:szCs w:val="24"/>
        </w:rPr>
      </w:pPr>
      <m:oMath>
        <m:r>
          <w:rPr>
            <w:rFonts w:ascii="Cambria Math" w:eastAsiaTheme="minorEastAsia" w:hAnsi="Cambria Math" w:cs="Arial"/>
            <w:szCs w:val="24"/>
          </w:rPr>
          <m:t>m=</m:t>
        </m:r>
        <m:r>
          <m:rPr>
            <m:sty m:val="p"/>
          </m:rPr>
          <w:rPr>
            <w:rFonts w:ascii="Cambria Math" w:hAnsi="Cambria Math" w:cs="Arial"/>
            <w:szCs w:val="24"/>
          </w:rPr>
          <m:t>2,2</m:t>
        </m:r>
        <m:r>
          <w:rPr>
            <w:rFonts w:ascii="Cambria Math" w:hAnsi="Cambria Math" w:cs="Arial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Cs w:val="24"/>
              </w:rPr>
              <m:t>-3</m:t>
            </m:r>
          </m:sup>
        </m:sSup>
        <m:r>
          <w:rPr>
            <w:rFonts w:ascii="Cambria Math" w:hAnsi="Cambria Math" w:cs="Arial"/>
            <w:szCs w:val="24"/>
          </w:rPr>
          <m:t>×</m:t>
        </m:r>
        <m:r>
          <m:rPr>
            <m:sty m:val="p"/>
          </m:rPr>
          <w:rPr>
            <w:rFonts w:ascii="Cambria Math" w:hAnsi="Cambria Math" w:cs="Arial"/>
            <w:szCs w:val="24"/>
          </w:rPr>
          <m:t>180,2=</m:t>
        </m:r>
        <m:r>
          <m:rPr>
            <m:sty m:val="b"/>
          </m:rPr>
          <w:rPr>
            <w:rFonts w:ascii="Cambria Math" w:hAnsi="Cambria Math" w:cs="Arial"/>
            <w:szCs w:val="24"/>
          </w:rPr>
          <m:t>0,40</m:t>
        </m:r>
        <m:r>
          <m:rPr>
            <m:nor/>
          </m:rPr>
          <w:rPr>
            <w:rFonts w:cs="Arial"/>
            <w:b/>
            <w:bCs/>
            <w:szCs w:val="24"/>
          </w:rPr>
          <m:t> g</m:t>
        </m:r>
      </m:oMath>
      <w:r w:rsidR="008847E7" w:rsidRPr="0084057A">
        <w:rPr>
          <w:rFonts w:eastAsiaTheme="minorEastAsia" w:cs="Arial"/>
          <w:b/>
          <w:bCs/>
          <w:szCs w:val="24"/>
        </w:rPr>
        <w:t xml:space="preserve"> .</w:t>
      </w:r>
      <m:oMath>
        <m:r>
          <m:rPr>
            <m:sty m:val="p"/>
          </m:rPr>
          <w:rPr>
            <w:rFonts w:ascii="Cambria Math" w:hAnsi="Cambria Math" w:cs="Arial"/>
            <w:szCs w:val="24"/>
          </w:rPr>
          <w:br/>
        </m:r>
      </m:oMath>
    </w:p>
    <w:p w14:paraId="1BC84068" w14:textId="77777777" w:rsidR="007F1F13" w:rsidRPr="0084057A" w:rsidRDefault="007F1F13" w:rsidP="00F12E80">
      <w:pPr>
        <w:rPr>
          <w:rFonts w:cs="Arial"/>
          <w:szCs w:val="24"/>
        </w:rPr>
      </w:pPr>
    </w:p>
    <w:p w14:paraId="76254780" w14:textId="1B30B2FC" w:rsidR="00F12E80" w:rsidRPr="007F1F13" w:rsidRDefault="00F12E80" w:rsidP="008847E7">
      <w:pPr>
        <w:rPr>
          <w:rFonts w:cs="Arial"/>
          <w:szCs w:val="24"/>
        </w:rPr>
      </w:pPr>
      <w:r w:rsidRPr="0084057A">
        <w:rPr>
          <w:rFonts w:cs="Arial"/>
          <w:szCs w:val="24"/>
        </w:rPr>
        <w:t>Le comprimé est affiché à 500 mg. La pharmacopée accepte une limite de ±15 %</w:t>
      </w:r>
      <w:r w:rsidR="007F1F13">
        <w:rPr>
          <w:rFonts w:cs="Arial"/>
          <w:szCs w:val="24"/>
        </w:rPr>
        <w:t>, soit 0,15 ×500 = 75 mg d’écart. Ainsi l’i</w:t>
      </w:r>
      <w:r w:rsidRPr="007F1F13">
        <w:rPr>
          <w:rFonts w:cs="Arial"/>
          <w:szCs w:val="24"/>
        </w:rPr>
        <w:t>ntervalle acceptable</w:t>
      </w:r>
      <w:r w:rsidR="007F1F13">
        <w:rPr>
          <w:rFonts w:cs="Arial"/>
          <w:szCs w:val="24"/>
        </w:rPr>
        <w:t xml:space="preserve"> est</w:t>
      </w:r>
      <w:r w:rsidR="008847E7" w:rsidRPr="007F1F13">
        <w:rPr>
          <w:rFonts w:cs="Arial"/>
          <w:szCs w:val="24"/>
        </w:rPr>
        <w:t xml:space="preserve"> entre 425 mg et 575 mg.</w:t>
      </w:r>
    </w:p>
    <w:p w14:paraId="2B12A0F5" w14:textId="76766C31" w:rsidR="00E563E7" w:rsidRPr="007F1F13" w:rsidRDefault="00F12E80" w:rsidP="00F12E80">
      <w:pPr>
        <w:rPr>
          <w:rFonts w:cs="Arial"/>
          <w:szCs w:val="24"/>
        </w:rPr>
      </w:pPr>
      <w:r w:rsidRPr="007F1F13">
        <w:rPr>
          <w:rFonts w:cs="Arial"/>
          <w:szCs w:val="24"/>
        </w:rPr>
        <w:t xml:space="preserve">La masse mesurée est </w:t>
      </w:r>
      <w:r w:rsidR="007F1F13" w:rsidRPr="007F1F13">
        <w:rPr>
          <w:rFonts w:cs="Arial"/>
          <w:szCs w:val="24"/>
        </w:rPr>
        <w:t>inférieure à 425 mg d</w:t>
      </w:r>
      <w:r w:rsidRPr="007F1F13">
        <w:rPr>
          <w:rFonts w:cs="Arial"/>
          <w:szCs w:val="24"/>
        </w:rPr>
        <w:t xml:space="preserve">onc </w:t>
      </w:r>
      <w:r w:rsidR="00F102F4" w:rsidRPr="007F1F13">
        <w:rPr>
          <w:rFonts w:cs="Arial"/>
          <w:szCs w:val="24"/>
        </w:rPr>
        <w:t>le comprimé n’est pas commercialisable.</w:t>
      </w:r>
    </w:p>
    <w:sectPr w:rsidR="00E563E7" w:rsidRPr="007F1F13" w:rsidSect="00E56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3DC"/>
    <w:multiLevelType w:val="multilevel"/>
    <w:tmpl w:val="2D7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4BD0"/>
    <w:multiLevelType w:val="hybridMultilevel"/>
    <w:tmpl w:val="967A2EB0"/>
    <w:lvl w:ilvl="0" w:tplc="B46E84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13AA"/>
    <w:multiLevelType w:val="multilevel"/>
    <w:tmpl w:val="42B4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A49C4"/>
    <w:multiLevelType w:val="hybridMultilevel"/>
    <w:tmpl w:val="39F84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4A66"/>
    <w:multiLevelType w:val="hybridMultilevel"/>
    <w:tmpl w:val="9E1C0DFA"/>
    <w:lvl w:ilvl="0" w:tplc="6F742186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845B9"/>
    <w:multiLevelType w:val="hybridMultilevel"/>
    <w:tmpl w:val="37808C6A"/>
    <w:lvl w:ilvl="0" w:tplc="B46E84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D79EE"/>
    <w:multiLevelType w:val="multilevel"/>
    <w:tmpl w:val="E55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311704">
    <w:abstractNumId w:val="6"/>
  </w:num>
  <w:num w:numId="2" w16cid:durableId="730225996">
    <w:abstractNumId w:val="0"/>
  </w:num>
  <w:num w:numId="3" w16cid:durableId="1133132955">
    <w:abstractNumId w:val="2"/>
  </w:num>
  <w:num w:numId="4" w16cid:durableId="1871841400">
    <w:abstractNumId w:val="1"/>
  </w:num>
  <w:num w:numId="5" w16cid:durableId="1310591164">
    <w:abstractNumId w:val="5"/>
  </w:num>
  <w:num w:numId="6" w16cid:durableId="1772430091">
    <w:abstractNumId w:val="3"/>
  </w:num>
  <w:num w:numId="7" w16cid:durableId="149562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1"/>
    <w:rsid w:val="00004E6E"/>
    <w:rsid w:val="00030FFD"/>
    <w:rsid w:val="000D0F8D"/>
    <w:rsid w:val="000D38CB"/>
    <w:rsid w:val="000D4BD7"/>
    <w:rsid w:val="000E7C31"/>
    <w:rsid w:val="00155899"/>
    <w:rsid w:val="00162FCC"/>
    <w:rsid w:val="00193EDC"/>
    <w:rsid w:val="001A59A4"/>
    <w:rsid w:val="001E618D"/>
    <w:rsid w:val="0022704C"/>
    <w:rsid w:val="00234DF5"/>
    <w:rsid w:val="003110D8"/>
    <w:rsid w:val="00356025"/>
    <w:rsid w:val="00364106"/>
    <w:rsid w:val="003915EE"/>
    <w:rsid w:val="003B4199"/>
    <w:rsid w:val="003C5136"/>
    <w:rsid w:val="003D5900"/>
    <w:rsid w:val="004418C2"/>
    <w:rsid w:val="00476962"/>
    <w:rsid w:val="004F324E"/>
    <w:rsid w:val="00502770"/>
    <w:rsid w:val="00544F88"/>
    <w:rsid w:val="005A1836"/>
    <w:rsid w:val="006007C6"/>
    <w:rsid w:val="00604DD3"/>
    <w:rsid w:val="006228B2"/>
    <w:rsid w:val="006B1235"/>
    <w:rsid w:val="006B1A9D"/>
    <w:rsid w:val="006C458C"/>
    <w:rsid w:val="006D13BF"/>
    <w:rsid w:val="006E00DD"/>
    <w:rsid w:val="006E3804"/>
    <w:rsid w:val="006E5953"/>
    <w:rsid w:val="006F77DC"/>
    <w:rsid w:val="00704691"/>
    <w:rsid w:val="007153AE"/>
    <w:rsid w:val="0077409E"/>
    <w:rsid w:val="00797BD8"/>
    <w:rsid w:val="007B196C"/>
    <w:rsid w:val="007F1F13"/>
    <w:rsid w:val="0084057A"/>
    <w:rsid w:val="008847E7"/>
    <w:rsid w:val="008C794B"/>
    <w:rsid w:val="008E7BB9"/>
    <w:rsid w:val="00955FE9"/>
    <w:rsid w:val="009C5858"/>
    <w:rsid w:val="00A2655B"/>
    <w:rsid w:val="00A637A3"/>
    <w:rsid w:val="00AB7EE4"/>
    <w:rsid w:val="00B035A9"/>
    <w:rsid w:val="00B14D72"/>
    <w:rsid w:val="00B62B08"/>
    <w:rsid w:val="00B8186E"/>
    <w:rsid w:val="00C37CC2"/>
    <w:rsid w:val="00CA0F1C"/>
    <w:rsid w:val="00D45790"/>
    <w:rsid w:val="00D706BC"/>
    <w:rsid w:val="00DB0A28"/>
    <w:rsid w:val="00DB560A"/>
    <w:rsid w:val="00DD0E35"/>
    <w:rsid w:val="00E37F67"/>
    <w:rsid w:val="00E563E7"/>
    <w:rsid w:val="00E97712"/>
    <w:rsid w:val="00F102F4"/>
    <w:rsid w:val="00F12E80"/>
    <w:rsid w:val="00F465FE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5BA3"/>
  <w15:chartTrackingRefBased/>
  <w15:docId w15:val="{196A4348-4E09-49AC-8D0D-E425FB13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7A"/>
    <w:pPr>
      <w:spacing w:after="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04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4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04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4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4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46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46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46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46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46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4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4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6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46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6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6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469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1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1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12E80"/>
    <w:rPr>
      <w:b/>
      <w:bCs/>
    </w:rPr>
  </w:style>
  <w:style w:type="character" w:customStyle="1" w:styleId="katex-display">
    <w:name w:val="katex-display"/>
    <w:basedOn w:val="Policepardfaut"/>
    <w:rsid w:val="00F12E80"/>
  </w:style>
  <w:style w:type="character" w:customStyle="1" w:styleId="katex">
    <w:name w:val="katex"/>
    <w:basedOn w:val="Policepardfaut"/>
    <w:rsid w:val="00F12E80"/>
  </w:style>
  <w:style w:type="character" w:customStyle="1" w:styleId="katex-mathml">
    <w:name w:val="katex-mathml"/>
    <w:basedOn w:val="Policepardfaut"/>
    <w:rsid w:val="00F12E80"/>
  </w:style>
  <w:style w:type="character" w:customStyle="1" w:styleId="katex-html">
    <w:name w:val="katex-html"/>
    <w:basedOn w:val="Policepardfaut"/>
    <w:rsid w:val="00F12E80"/>
  </w:style>
  <w:style w:type="character" w:customStyle="1" w:styleId="base">
    <w:name w:val="base"/>
    <w:basedOn w:val="Policepardfaut"/>
    <w:rsid w:val="00F12E80"/>
  </w:style>
  <w:style w:type="character" w:customStyle="1" w:styleId="strut">
    <w:name w:val="strut"/>
    <w:basedOn w:val="Policepardfaut"/>
    <w:rsid w:val="00F12E80"/>
  </w:style>
  <w:style w:type="character" w:customStyle="1" w:styleId="mop">
    <w:name w:val="mop"/>
    <w:basedOn w:val="Policepardfaut"/>
    <w:rsid w:val="00F12E80"/>
  </w:style>
  <w:style w:type="character" w:customStyle="1" w:styleId="mspace">
    <w:name w:val="mspace"/>
    <w:basedOn w:val="Policepardfaut"/>
    <w:rsid w:val="00F12E80"/>
  </w:style>
  <w:style w:type="character" w:customStyle="1" w:styleId="mord">
    <w:name w:val="mord"/>
    <w:basedOn w:val="Policepardfaut"/>
    <w:rsid w:val="00F12E80"/>
  </w:style>
  <w:style w:type="character" w:customStyle="1" w:styleId="mrel">
    <w:name w:val="mrel"/>
    <w:basedOn w:val="Policepardfaut"/>
    <w:rsid w:val="00F12E80"/>
  </w:style>
  <w:style w:type="character" w:customStyle="1" w:styleId="mopen">
    <w:name w:val="mopen"/>
    <w:basedOn w:val="Policepardfaut"/>
    <w:rsid w:val="00F12E80"/>
  </w:style>
  <w:style w:type="character" w:customStyle="1" w:styleId="mfrac">
    <w:name w:val="mfrac"/>
    <w:basedOn w:val="Policepardfaut"/>
    <w:rsid w:val="00F12E80"/>
  </w:style>
  <w:style w:type="character" w:customStyle="1" w:styleId="vlist-t">
    <w:name w:val="vlist-t"/>
    <w:basedOn w:val="Policepardfaut"/>
    <w:rsid w:val="00F12E80"/>
  </w:style>
  <w:style w:type="character" w:customStyle="1" w:styleId="vlist-r">
    <w:name w:val="vlist-r"/>
    <w:basedOn w:val="Policepardfaut"/>
    <w:rsid w:val="00F12E80"/>
  </w:style>
  <w:style w:type="character" w:customStyle="1" w:styleId="vlist">
    <w:name w:val="vlist"/>
    <w:basedOn w:val="Policepardfaut"/>
    <w:rsid w:val="00F12E80"/>
  </w:style>
  <w:style w:type="character" w:customStyle="1" w:styleId="pstrut">
    <w:name w:val="pstrut"/>
    <w:basedOn w:val="Policepardfaut"/>
    <w:rsid w:val="00F12E80"/>
  </w:style>
  <w:style w:type="character" w:customStyle="1" w:styleId="frac-line">
    <w:name w:val="frac-line"/>
    <w:basedOn w:val="Policepardfaut"/>
    <w:rsid w:val="00F12E80"/>
  </w:style>
  <w:style w:type="character" w:customStyle="1" w:styleId="vlist-s">
    <w:name w:val="vlist-s"/>
    <w:basedOn w:val="Policepardfaut"/>
    <w:rsid w:val="00F12E80"/>
  </w:style>
  <w:style w:type="character" w:customStyle="1" w:styleId="mclose">
    <w:name w:val="mclose"/>
    <w:basedOn w:val="Policepardfaut"/>
    <w:rsid w:val="00F12E80"/>
  </w:style>
  <w:style w:type="character" w:customStyle="1" w:styleId="boxpad">
    <w:name w:val="boxpad"/>
    <w:basedOn w:val="Policepardfaut"/>
    <w:rsid w:val="00F12E80"/>
  </w:style>
  <w:style w:type="character" w:customStyle="1" w:styleId="stretchy">
    <w:name w:val="stretchy"/>
    <w:basedOn w:val="Policepardfaut"/>
    <w:rsid w:val="00F12E80"/>
  </w:style>
  <w:style w:type="character" w:customStyle="1" w:styleId="mbin">
    <w:name w:val="mbin"/>
    <w:basedOn w:val="Policepardfaut"/>
    <w:rsid w:val="00F12E80"/>
  </w:style>
  <w:style w:type="character" w:customStyle="1" w:styleId="sizing">
    <w:name w:val="sizing"/>
    <w:basedOn w:val="Policepardfaut"/>
    <w:rsid w:val="00F12E80"/>
  </w:style>
  <w:style w:type="character" w:customStyle="1" w:styleId="mpunct">
    <w:name w:val="mpunct"/>
    <w:basedOn w:val="Policepardfaut"/>
    <w:rsid w:val="00F12E80"/>
  </w:style>
  <w:style w:type="character" w:customStyle="1" w:styleId="msupsub">
    <w:name w:val="msupsub"/>
    <w:basedOn w:val="Policepardfaut"/>
    <w:rsid w:val="00F12E80"/>
  </w:style>
  <w:style w:type="character" w:customStyle="1" w:styleId="svg-align">
    <w:name w:val="svg-align"/>
    <w:basedOn w:val="Policepardfaut"/>
    <w:rsid w:val="00F12E80"/>
  </w:style>
  <w:style w:type="character" w:customStyle="1" w:styleId="minner">
    <w:name w:val="minner"/>
    <w:basedOn w:val="Policepardfaut"/>
    <w:rsid w:val="00F12E80"/>
  </w:style>
  <w:style w:type="character" w:customStyle="1" w:styleId="delimsizing">
    <w:name w:val="delimsizing"/>
    <w:basedOn w:val="Policepardfaut"/>
    <w:rsid w:val="00F12E80"/>
  </w:style>
  <w:style w:type="character" w:customStyle="1" w:styleId="hide-tail">
    <w:name w:val="hide-tail"/>
    <w:basedOn w:val="Policepardfaut"/>
    <w:rsid w:val="00F12E80"/>
  </w:style>
  <w:style w:type="character" w:customStyle="1" w:styleId="accent-body">
    <w:name w:val="accent-body"/>
    <w:basedOn w:val="Policepardfaut"/>
    <w:rsid w:val="00F12E80"/>
  </w:style>
  <w:style w:type="character" w:styleId="Lienhypertexte">
    <w:name w:val="Hyperlink"/>
    <w:basedOn w:val="Policepardfaut"/>
    <w:uiPriority w:val="99"/>
    <w:unhideWhenUsed/>
    <w:rsid w:val="006E595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95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B12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durl.fr/tangentes" TargetMode="External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0.png"/><Relationship Id="rId5" Type="http://schemas.openxmlformats.org/officeDocument/2006/relationships/hyperlink" Target="https://www.labolycee.org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Kuhry Jonathan</dc:creator>
  <cp:keywords/>
  <dc:description/>
  <cp:lastModifiedBy>jocelyn CLEMENT</cp:lastModifiedBy>
  <cp:revision>9</cp:revision>
  <dcterms:created xsi:type="dcterms:W3CDTF">2026-06-10T15:13:00Z</dcterms:created>
  <dcterms:modified xsi:type="dcterms:W3CDTF">2026-06-10T18:52:00Z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